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0" w:line="240"/>
        <w:ind w:right="0" w:left="-2" w:hanging="282"/>
        <w:jc w:val="left"/>
        <w:rPr>
          <w:rFonts w:ascii="宋体" w:hAnsi="宋体" w:cs="宋体" w:eastAsia="宋体"/>
          <w:color w:val="auto"/>
          <w:spacing w:val="6"/>
          <w:position w:val="0"/>
          <w:sz w:val="32"/>
          <w:shd w:fill="auto" w:val="clear"/>
        </w:rPr>
      </w:pPr>
      <w:r>
        <w:rPr>
          <w:rFonts w:ascii="宋体" w:hAnsi="宋体" w:cs="宋体" w:eastAsia="宋体"/>
          <w:color w:val="auto"/>
          <w:spacing w:val="6"/>
          <w:position w:val="0"/>
          <w:sz w:val="32"/>
          <w:shd w:fill="auto" w:val="clear"/>
        </w:rPr>
        <w:t xml:space="preserve">附件：</w:t>
      </w:r>
    </w:p>
    <w:p>
      <w:pPr>
        <w:spacing w:before="0" w:after="0" w:line="240"/>
        <w:ind w:right="0" w:left="0" w:firstLine="0"/>
        <w:jc w:val="center"/>
        <w:rPr>
          <w:rFonts w:ascii="宋体" w:hAnsi="宋体" w:cs="宋体" w:eastAsia="宋体"/>
          <w:b/>
          <w:color w:val="auto"/>
          <w:spacing w:val="0"/>
          <w:position w:val="0"/>
          <w:sz w:val="40"/>
          <w:shd w:fill="auto" w:val="clear"/>
        </w:rPr>
      </w:pPr>
      <w:r>
        <w:rPr>
          <w:rFonts w:ascii="宋体" w:hAnsi="宋体" w:cs="宋体" w:eastAsia="宋体"/>
          <w:b/>
          <w:color w:val="auto"/>
          <w:spacing w:val="0"/>
          <w:position w:val="0"/>
          <w:sz w:val="40"/>
          <w:shd w:fill="auto" w:val="clear"/>
        </w:rPr>
        <w:t xml:space="preserve">   资源综合利用产品和劳务增值税优惠目录</w:t>
      </w:r>
    </w:p>
    <w:p>
      <w:pPr>
        <w:widowControl w:val="false"/>
        <w:spacing w:before="0" w:after="0" w:line="240"/>
        <w:ind w:right="0" w:left="0" w:firstLine="0"/>
        <w:jc w:val="center"/>
        <w:rPr>
          <w:rFonts w:ascii="Calibri" w:hAnsi="Calibri" w:cs="Calibri" w:eastAsia="Calibri"/>
          <w:color w:val="auto"/>
          <w:spacing w:val="0"/>
          <w:position w:val="0"/>
          <w:sz w:val="21"/>
          <w:shd w:fill="auto" w:val="clear"/>
        </w:rPr>
      </w:pPr>
    </w:p>
    <w:tbl>
      <w:tblPr/>
      <w:tblGrid>
        <w:gridCol w:w="1008"/>
        <w:gridCol w:w="708"/>
        <w:gridCol w:w="3202"/>
        <w:gridCol w:w="3177"/>
        <w:gridCol w:w="4618"/>
        <w:gridCol w:w="1154"/>
      </w:tblGrid>
      <w:tr>
        <w:trPr>
          <w:trHeight w:val="585" w:hRule="auto"/>
          <w:jc w:val="center"/>
        </w:trPr>
        <w:tc>
          <w:tcPr>
            <w:tcW w:w="10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类别</w:t>
            </w:r>
          </w:p>
        </w:tc>
        <w:tc>
          <w:tcPr>
            <w:tcW w:w="70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3202"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综合利用的资源名称</w:t>
            </w:r>
          </w:p>
        </w:tc>
        <w:tc>
          <w:tcPr>
            <w:tcW w:w="317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综合利用产品和劳务名称</w:t>
            </w:r>
          </w:p>
        </w:tc>
        <w:tc>
          <w:tcPr>
            <w:tcW w:w="46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技术标准和相关条件</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both"/>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退税比例</w:t>
            </w:r>
          </w:p>
        </w:tc>
      </w:tr>
      <w:tr>
        <w:trPr>
          <w:trHeight w:val="480" w:hRule="auto"/>
          <w:jc w:val="center"/>
        </w:trPr>
        <w:tc>
          <w:tcPr>
            <w:tcW w:w="100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一、共、伴生矿产资源</w:t>
            </w:r>
          </w:p>
        </w:tc>
        <w:tc>
          <w:tcPr>
            <w:tcW w:w="70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1.1</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油母页岩</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页岩油</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3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产品原料</w:t>
            </w:r>
            <w:r>
              <w:rPr>
                <w:rFonts w:ascii="Calibri" w:hAnsi="Calibri" w:cs="Calibri" w:eastAsia="Calibri"/>
                <w:color w:val="auto"/>
                <w:spacing w:val="0"/>
                <w:position w:val="0"/>
                <w:sz w:val="21"/>
                <w:shd w:fill="auto" w:val="clear"/>
              </w:rPr>
              <w:t xml:space="preserve">95%</w:t>
            </w:r>
            <w:r>
              <w:rPr>
                <w:rFonts w:ascii="宋体" w:hAnsi="宋体" w:cs="宋体" w:eastAsia="宋体"/>
                <w:color w:val="auto"/>
                <w:spacing w:val="0"/>
                <w:position w:val="0"/>
                <w:sz w:val="21"/>
                <w:shd w:fill="auto" w:val="clear"/>
              </w:rPr>
              <w:t xml:space="preserve">以上来自所列资源。</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70%</w:t>
            </w:r>
          </w:p>
        </w:tc>
      </w:tr>
      <w:tr>
        <w:trPr>
          <w:trHeight w:val="480" w:hRule="auto"/>
          <w:jc w:val="center"/>
        </w:trPr>
        <w:tc>
          <w:tcPr>
            <w:tcW w:w="100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1.2</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煤炭开采过程中产生的煤层气（煤矿瓦斯）</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电力</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产品燃料</w:t>
            </w:r>
            <w:r>
              <w:rPr>
                <w:rFonts w:ascii="Calibri" w:hAnsi="Calibri" w:cs="Calibri" w:eastAsia="Calibri"/>
                <w:color w:val="auto"/>
                <w:spacing w:val="0"/>
                <w:position w:val="0"/>
                <w:sz w:val="21"/>
                <w:shd w:fill="auto" w:val="clear"/>
              </w:rPr>
              <w:t xml:space="preserve">95%</w:t>
            </w:r>
            <w:r>
              <w:rPr>
                <w:rFonts w:ascii="宋体" w:hAnsi="宋体" w:cs="宋体" w:eastAsia="宋体"/>
                <w:color w:val="auto"/>
                <w:spacing w:val="0"/>
                <w:position w:val="0"/>
                <w:sz w:val="21"/>
                <w:shd w:fill="auto" w:val="clear"/>
              </w:rPr>
              <w:t xml:space="preserve">以上来自所列资源。</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r>
      <w:tr>
        <w:trPr>
          <w:trHeight w:val="480" w:hRule="auto"/>
          <w:jc w:val="center"/>
        </w:trPr>
        <w:tc>
          <w:tcPr>
            <w:tcW w:w="100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1.3</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油田采油过程中产生的油污泥（浮渣）</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乳化油调和剂、防水卷材辅料产品</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产品原料70%以上来自所列资源。</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70%</w:t>
            </w:r>
          </w:p>
        </w:tc>
      </w:tr>
      <w:tr>
        <w:trPr>
          <w:trHeight w:val="2094" w:hRule="auto"/>
          <w:jc w:val="center"/>
        </w:trPr>
        <w:tc>
          <w:tcPr>
            <w:tcW w:w="100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二、废渣、废水（液）、废气</w:t>
            </w: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left"/>
              <w:rPr>
                <w:rFonts w:ascii="宋体" w:hAnsi="宋体" w:cs="宋体" w:eastAsia="宋体"/>
                <w:color w:val="auto"/>
                <w:spacing w:val="0"/>
                <w:position w:val="0"/>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2.1</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废渣</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砖瓦（不含烧结普通砖）、砌块、陶粒、墙板、管材（管桩）、混凝土、砂浆、道路井盖、道路护栏、防火材料、耐火材料（镁铬砖除外）、保温材料、矿（岩）棉、微晶玻璃、</w:t>
            </w:r>
            <w:r>
              <w:rPr>
                <w:rFonts w:ascii="Calibri" w:hAnsi="Calibri" w:cs="Calibri" w:eastAsia="Calibri"/>
                <w:color w:val="auto"/>
                <w:spacing w:val="0"/>
                <w:position w:val="0"/>
                <w:sz w:val="21"/>
                <w:shd w:fill="auto" w:val="clear"/>
              </w:rPr>
              <w:t xml:space="preserve">U</w:t>
            </w:r>
            <w:r>
              <w:rPr>
                <w:rFonts w:ascii="宋体" w:hAnsi="宋体" w:cs="宋体" w:eastAsia="宋体"/>
                <w:color w:val="auto"/>
                <w:spacing w:val="0"/>
                <w:position w:val="0"/>
                <w:sz w:val="21"/>
                <w:shd w:fill="auto" w:val="clear"/>
              </w:rPr>
              <w:t xml:space="preserve">型玻璃</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产品原料70%以上来自所列资源。</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70%</w:t>
            </w:r>
          </w:p>
        </w:tc>
      </w:tr>
      <w:tr>
        <w:trPr>
          <w:trHeight w:val="1920"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2.2</w:t>
            </w:r>
          </w:p>
        </w:tc>
        <w:tc>
          <w:tcPr>
            <w:tcW w:w="32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废渣</w:t>
            </w:r>
          </w:p>
        </w:tc>
        <w:tc>
          <w:tcPr>
            <w:tcW w:w="31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水泥、水泥熟料</w:t>
            </w:r>
          </w:p>
        </w:tc>
        <w:tc>
          <w:tcPr>
            <w:tcW w:w="46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1.42.5及以上等级水泥的原料20%以上来自所列资源，其他水泥、水泥熟料的原料40%以上来自所列资源； </w:t>
            </w:r>
          </w:p>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2．纳税人符合《水泥工业大气污染物排放标准》（GB4915—2013）规定的技术要求。</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70%</w:t>
            </w:r>
          </w:p>
        </w:tc>
      </w:tr>
      <w:tr>
        <w:trPr>
          <w:trHeight w:val="1920"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2.3</w:t>
            </w:r>
          </w:p>
        </w:tc>
        <w:tc>
          <w:tcPr>
            <w:tcW w:w="32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建（构）筑废物、煤矸石</w:t>
            </w:r>
          </w:p>
        </w:tc>
        <w:tc>
          <w:tcPr>
            <w:tcW w:w="31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建筑砂石骨料</w:t>
            </w:r>
          </w:p>
        </w:tc>
        <w:tc>
          <w:tcPr>
            <w:tcW w:w="46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1.产品原料90%以上来自所列资源；</w:t>
              <w:br/>
              <w:t xml:space="preserve">2.产品以建（构）筑废物为原料的，符合《混凝土用再生粗骨料》（GB/T 25177-2010）或《混凝土和砂浆用再生细骨料》（GB/T 25176-2010）的技术要求；以煤矸石为原料的，符合《建设用砂》（GB/T 14684-2011）或《建设用卵石、碎石》（GB/T 14685-2011）规定的技术要求。</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r>
      <w:tr>
        <w:trPr>
          <w:trHeight w:val="480"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2.4</w:t>
            </w:r>
          </w:p>
        </w:tc>
        <w:tc>
          <w:tcPr>
            <w:tcW w:w="3202"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粉煤灰、煤矸石</w:t>
            </w:r>
          </w:p>
        </w:tc>
        <w:tc>
          <w:tcPr>
            <w:tcW w:w="317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氧化铝、活性硅酸钙、瓷绝缘子、煅烧高岭土</w:t>
            </w:r>
          </w:p>
        </w:tc>
        <w:tc>
          <w:tcPr>
            <w:tcW w:w="46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氧化铝、活性硅酸钙生产原料25%以上来自所列资源，瓷绝缘子生产原料中煤矸石所占比重30%以上，煅烧高岭土生产原料中煤矸石所占比重90%以上。</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r>
      <w:tr>
        <w:trPr>
          <w:trHeight w:val="480"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2.5</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煤矸石、煤泥、石煤、油母页岩</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电力、热力</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1.产品燃料60%以上来自所列资源；</w:t>
            </w:r>
          </w:p>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2.纳税人符合《火电厂大气污染物排放标准》（GB13223—2011）和国家发展改革委、环境保护部、工业和信息化部《电力（燃煤发电企业）行业清洁生产评价指标体系》规定的技术要求。</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r>
      <w:tr>
        <w:trPr>
          <w:trHeight w:val="480"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2.6</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氧化铝赤泥、电石渣</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氧化铁、氢氧化钠溶液、铝酸钠、铝酸三钙、脱硫剂</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.产品原料90%以上来自所列资源；</w:t>
            </w:r>
          </w:p>
          <w:p>
            <w:pPr>
              <w:widowControl w:val="false"/>
              <w:spacing w:before="0" w:after="0" w:line="30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生产过程中不产生二次废渣。</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r>
      <w:tr>
        <w:trPr>
          <w:trHeight w:val="750"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2.7</w:t>
            </w:r>
          </w:p>
        </w:tc>
        <w:tc>
          <w:tcPr>
            <w:tcW w:w="3202"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废旧石墨</w:t>
            </w:r>
          </w:p>
        </w:tc>
        <w:tc>
          <w:tcPr>
            <w:tcW w:w="317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石墨异形件、石墨块、石墨粉、石墨增碳剂</w:t>
            </w:r>
          </w:p>
        </w:tc>
        <w:tc>
          <w:tcPr>
            <w:tcW w:w="46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1.产品原料90%以上来自所列资源；</w:t>
            </w:r>
          </w:p>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2.纳税人符合《工业炉窑大气污染物排放标准》（GB9078-1996）规定的技术要求。</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r>
      <w:tr>
        <w:trPr>
          <w:trHeight w:val="480"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2.8</w:t>
            </w:r>
          </w:p>
        </w:tc>
        <w:tc>
          <w:tcPr>
            <w:tcW w:w="32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垃圾以及利用垃圾发酵产生的沼气</w:t>
            </w:r>
          </w:p>
        </w:tc>
        <w:tc>
          <w:tcPr>
            <w:tcW w:w="31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电力、热力</w:t>
            </w:r>
          </w:p>
        </w:tc>
        <w:tc>
          <w:tcPr>
            <w:tcW w:w="46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1.产品燃料80%以上来自所列资源；</w:t>
              <w:br/>
              <w:t xml:space="preserve">2.纳税人符合《火电厂大气污染物排放标准》（GB13223-2011）或《生活垃圾焚烧污染控制标准》（GB18485—2014）规定的技术要求。</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r>
      <w:tr>
        <w:trPr>
          <w:trHeight w:val="712"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2.9</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退役军用发射药</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涂料用硝化棉粉</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产品原料90%以上来自所列资源。</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r>
      <w:tr>
        <w:trPr>
          <w:trHeight w:val="480"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2.10</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废旧沥青混凝土</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再生沥青混凝土</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1.产品原料30%以上来自所列资源；</w:t>
            </w:r>
          </w:p>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2.产品符合《再生沥青混凝土》（GB/T 25033-2010）规定的技术要求。</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r>
      <w:tr>
        <w:trPr>
          <w:trHeight w:val="480"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2.11</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蔗渣</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蔗渣浆、蔗渣刨花板和纸</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1.产品原料70%以上来自所列资源；</w:t>
            </w:r>
          </w:p>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2.生产蔗渣浆及各类纸的纳税人符合国家发展改革委、环境保护部、工业和信息化部《制浆造纸行业清洁生产评价指标体系》规定的技术要求。</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r>
      <w:tr>
        <w:trPr>
          <w:trHeight w:val="720"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2.12</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废矿物油</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润滑油基础油、汽油、柴油等工业油料</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1.产品原料90%以上来自所列资源； </w:t>
            </w:r>
          </w:p>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2.纳税人符合《废矿物油回收利用污染控制技术规范》（HJ 607-2011）规定的技术要求。</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r>
      <w:tr>
        <w:trPr>
          <w:trHeight w:val="480"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2.13</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环己烷氧化废液</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环氧环己烷、正戊醇、醇醚溶剂</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1.产品原料90%以上来自所列资源；</w:t>
            </w:r>
          </w:p>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2.纳税人必须通过ISO9000、ISO14000认证。</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r>
      <w:tr>
        <w:trPr>
          <w:trHeight w:val="480"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2.14</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污水处理厂出水、工业排水（矿井水）、生活污水、垃圾处理厂渗透（滤）液等</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再生水</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1.产品原料100%来自所列资源；</w:t>
            </w:r>
          </w:p>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2.产品符合《再生水水质标准》（SL368—2006）规定的技术要求。</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r>
      <w:tr>
        <w:trPr>
          <w:trHeight w:val="960"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2.15</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废弃酒糟和酿酒底锅水，淀粉、粉丝加工废液、废渣</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蒸汽、活性炭、白碳黑、乳酸、乳酸钙、沼气、饲料、植物蛋白</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产品原料80%以上来自所列资源。</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70%</w:t>
            </w:r>
          </w:p>
        </w:tc>
      </w:tr>
      <w:tr>
        <w:trPr>
          <w:trHeight w:val="960"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2.16</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含油污水、有机废水、污水处理后产生的污泥，油田采油过程中产生的油污泥（浮渣），包括利用上述资源发酵产生的沼气</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微生物蛋白、干化污泥、燃料、电力、热力</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产品原料或燃料90%以上来自所列资源，其中利用油田采油过程中产生的油污泥（浮渣）生产燃料的，原料60%以上来自所列资源。</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70%</w:t>
            </w:r>
          </w:p>
        </w:tc>
      </w:tr>
      <w:tr>
        <w:trPr>
          <w:trHeight w:val="960"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2.17</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煤焦油、荒煤气（焦炉煤气）</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柴油、石脑油</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1.产品原料95%以上来自所列资源；</w:t>
            </w:r>
          </w:p>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2.纳税人必须通过ISO9000、ISO14000认证。</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r>
      <w:tr>
        <w:trPr>
          <w:trHeight w:val="960"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2.18</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燃煤发电厂及各类工业企业生产过程中产生的烟气、高硫天然气</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石膏、硫酸、硫酸铵、硫磺</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1.产品原料</w:t>
            </w:r>
            <w:r>
              <w:rPr>
                <w:rFonts w:ascii="Calibri" w:hAnsi="Calibri" w:cs="Calibri" w:eastAsia="Calibri"/>
                <w:color w:val="auto"/>
                <w:spacing w:val="0"/>
                <w:position w:val="0"/>
                <w:sz w:val="21"/>
                <w:shd w:fill="auto" w:val="clear"/>
              </w:rPr>
              <w:t xml:space="preserve">95%</w:t>
            </w:r>
            <w:r>
              <w:rPr>
                <w:rFonts w:ascii="宋体" w:hAnsi="宋体" w:cs="宋体" w:eastAsia="宋体"/>
                <w:color w:val="auto"/>
                <w:spacing w:val="0"/>
                <w:position w:val="0"/>
                <w:sz w:val="21"/>
                <w:shd w:fill="auto" w:val="clear"/>
              </w:rPr>
              <w:t xml:space="preserve">以上来自所列资源；</w:t>
            </w:r>
          </w:p>
          <w:p>
            <w:pPr>
              <w:widowControl w:val="false"/>
              <w:spacing w:before="0" w:after="0" w:line="3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2.石膏的二水硫酸钙含量85%以上，硫酸的浓度15%以上，硫酸铵的总氮含量18%以上。 </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r>
      <w:tr>
        <w:trPr>
          <w:trHeight w:val="885"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2.19</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工业废气</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高纯度二氧化碳、工业氢气、甲烷</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1.产品原料</w:t>
            </w:r>
            <w:r>
              <w:rPr>
                <w:rFonts w:ascii="Calibri" w:hAnsi="Calibri" w:cs="Calibri" w:eastAsia="Calibri"/>
                <w:color w:val="auto"/>
                <w:spacing w:val="0"/>
                <w:position w:val="0"/>
                <w:sz w:val="21"/>
                <w:shd w:fill="auto" w:val="clear"/>
              </w:rPr>
              <w:t xml:space="preserve">95%</w:t>
            </w:r>
            <w:r>
              <w:rPr>
                <w:rFonts w:ascii="宋体" w:hAnsi="宋体" w:cs="宋体" w:eastAsia="宋体"/>
                <w:color w:val="auto"/>
                <w:spacing w:val="0"/>
                <w:position w:val="0"/>
                <w:sz w:val="21"/>
                <w:shd w:fill="auto" w:val="clear"/>
              </w:rPr>
              <w:t xml:space="preserve">以上来自所列资源；</w:t>
            </w:r>
          </w:p>
          <w:p>
            <w:pPr>
              <w:widowControl w:val="false"/>
              <w:spacing w:before="0" w:after="0" w:line="3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2.高纯度二氧化碳产品符合（GB10621—2006），工业氢气产品符合（GB/T3634.1-2006），甲烷产品符合（HG/T 3633-1999）规定的技术要求。</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70%</w:t>
            </w:r>
          </w:p>
        </w:tc>
      </w:tr>
      <w:tr>
        <w:trPr>
          <w:trHeight w:val="480"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2.20</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工业生产过程中产生的余热、余压</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电力、热力</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产品原料</w:t>
            </w:r>
            <w:r>
              <w:rPr>
                <w:rFonts w:ascii="Calibri" w:hAnsi="Calibri" w:cs="Calibri" w:eastAsia="Calibri"/>
                <w:color w:val="auto"/>
                <w:spacing w:val="0"/>
                <w:position w:val="0"/>
                <w:sz w:val="21"/>
                <w:shd w:fill="auto" w:val="clear"/>
              </w:rPr>
              <w:t xml:space="preserve">100%</w:t>
            </w:r>
            <w:r>
              <w:rPr>
                <w:rFonts w:ascii="宋体" w:hAnsi="宋体" w:cs="宋体" w:eastAsia="宋体"/>
                <w:color w:val="auto"/>
                <w:spacing w:val="0"/>
                <w:position w:val="0"/>
                <w:sz w:val="21"/>
                <w:shd w:fill="auto" w:val="clear"/>
              </w:rPr>
              <w:t xml:space="preserve">来自所列资源。</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r>
      <w:tr>
        <w:trPr>
          <w:trHeight w:val="1140" w:hRule="auto"/>
          <w:jc w:val="center"/>
        </w:trPr>
        <w:tc>
          <w:tcPr>
            <w:tcW w:w="1008" w:type="dxa"/>
            <w:vMerge w:val="restart"/>
            <w:tcBorders>
              <w:top w:val="single" w:color="000000" w:sz="4"/>
              <w:left w:val="single" w:color="000000" w:sz="4"/>
              <w:bottom w:val="single" w:color="000000" w:sz="0"/>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三、再生资源</w:t>
            </w: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b/>
                <w:color w:val="auto"/>
                <w:spacing w:val="0"/>
                <w:position w:val="0"/>
                <w:sz w:val="21"/>
                <w:shd w:fill="auto" w:val="clear"/>
              </w:rPr>
            </w:pPr>
          </w:p>
          <w:p>
            <w:pPr>
              <w:widowControl w:val="false"/>
              <w:spacing w:before="0" w:after="0" w:line="300"/>
              <w:ind w:right="0" w:left="0" w:firstLine="0"/>
              <w:jc w:val="center"/>
              <w:rPr>
                <w:rFonts w:ascii="宋体" w:hAnsi="宋体" w:cs="宋体" w:eastAsia="宋体"/>
                <w:color w:val="auto"/>
                <w:spacing w:val="0"/>
                <w:position w:val="0"/>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3.1</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废旧电池及其拆解物</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金属及镍钴锰氢氧化物、镍钴锰酸锂、氯化钴</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产品原料中</w:t>
            </w:r>
            <w:r>
              <w:rPr>
                <w:rFonts w:ascii="Calibri" w:hAnsi="Calibri" w:cs="Calibri" w:eastAsia="Calibri"/>
                <w:color w:val="auto"/>
                <w:spacing w:val="0"/>
                <w:position w:val="0"/>
                <w:sz w:val="21"/>
                <w:shd w:fill="auto" w:val="clear"/>
              </w:rPr>
              <w:t xml:space="preserve">95%</w:t>
            </w:r>
            <w:r>
              <w:rPr>
                <w:rFonts w:ascii="宋体" w:hAnsi="宋体" w:cs="宋体" w:eastAsia="宋体"/>
                <w:color w:val="auto"/>
                <w:spacing w:val="0"/>
                <w:position w:val="0"/>
                <w:sz w:val="21"/>
                <w:shd w:fill="auto" w:val="clear"/>
              </w:rPr>
              <w:t xml:space="preserve">以上利用上述资源；</w:t>
            </w:r>
            <w:r>
              <w:rPr>
                <w:rFonts w:ascii="Calibri" w:hAnsi="Calibri" w:cs="Calibri" w:eastAsia="Calibri"/>
                <w:color w:val="auto"/>
                <w:spacing w:val="0"/>
                <w:position w:val="0"/>
                <w:sz w:val="21"/>
                <w:shd w:fill="auto" w:val="clear"/>
              </w:rPr>
              <w:br/>
              <w:t xml:space="preserve">2.</w:t>
            </w:r>
            <w:r>
              <w:rPr>
                <w:rFonts w:ascii="宋体" w:hAnsi="宋体" w:cs="宋体" w:eastAsia="宋体"/>
                <w:color w:val="auto"/>
                <w:spacing w:val="0"/>
                <w:position w:val="0"/>
                <w:sz w:val="21"/>
                <w:shd w:fill="auto" w:val="clear"/>
              </w:rPr>
              <w:t xml:space="preserve">镍钴锰氢氧化物符合《镍、钴、锰三元素复合氢氧化物》（GB/T26300-2010）规定的技术要求。</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30%</w:t>
            </w:r>
          </w:p>
        </w:tc>
      </w:tr>
      <w:tr>
        <w:trPr>
          <w:trHeight w:val="1140" w:hRule="auto"/>
          <w:jc w:val="center"/>
        </w:trPr>
        <w:tc>
          <w:tcPr>
            <w:tcW w:w="1008" w:type="dxa"/>
            <w:vMerge/>
            <w:tcBorders>
              <w:top w:val="single" w:color="000000" w:sz="4"/>
              <w:left w:val="single" w:color="000000" w:sz="4"/>
              <w:bottom w:val="single" w:color="000000" w:sz="0"/>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3.2</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废显（定）影液、废胶片、废像纸、废感光剂等废感光材料</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银</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产品原料</w:t>
            </w:r>
            <w:r>
              <w:rPr>
                <w:rFonts w:ascii="Calibri" w:hAnsi="Calibri" w:cs="Calibri" w:eastAsia="Calibri"/>
                <w:color w:val="auto"/>
                <w:spacing w:val="0"/>
                <w:position w:val="0"/>
                <w:sz w:val="21"/>
                <w:shd w:fill="auto" w:val="clear"/>
              </w:rPr>
              <w:t xml:space="preserve">95%</w:t>
            </w:r>
            <w:r>
              <w:rPr>
                <w:rFonts w:ascii="宋体" w:hAnsi="宋体" w:cs="宋体" w:eastAsia="宋体"/>
                <w:color w:val="auto"/>
                <w:spacing w:val="0"/>
                <w:position w:val="0"/>
                <w:sz w:val="21"/>
                <w:shd w:fill="auto" w:val="clear"/>
              </w:rPr>
              <w:t xml:space="preserve">以上来自所列资源；</w:t>
            </w:r>
            <w:r>
              <w:rPr>
                <w:rFonts w:ascii="Calibri" w:hAnsi="Calibri" w:cs="Calibri" w:eastAsia="Calibri"/>
                <w:color w:val="auto"/>
                <w:spacing w:val="0"/>
                <w:position w:val="0"/>
                <w:sz w:val="21"/>
                <w:shd w:fill="auto" w:val="clear"/>
              </w:rPr>
              <w:br/>
              <w:t xml:space="preserve">2.</w:t>
            </w:r>
            <w:r>
              <w:rPr>
                <w:rFonts w:ascii="宋体" w:hAnsi="宋体" w:cs="宋体" w:eastAsia="宋体"/>
                <w:color w:val="auto"/>
                <w:spacing w:val="0"/>
                <w:position w:val="0"/>
                <w:sz w:val="21"/>
                <w:shd w:fill="auto" w:val="clear"/>
              </w:rPr>
              <w:t xml:space="preserve">纳税人必须通过ISO9000、ISO14000认证。</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30%</w:t>
            </w:r>
          </w:p>
        </w:tc>
      </w:tr>
      <w:tr>
        <w:trPr>
          <w:trHeight w:val="480" w:hRule="auto"/>
          <w:jc w:val="center"/>
        </w:trPr>
        <w:tc>
          <w:tcPr>
            <w:tcW w:w="1008"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3.3</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废旧电机、废旧电线电缆、废铝制易拉罐、报废汽车、报废摩托车、报废船舶、废旧电器电子产品、废旧太阳能光伏器件、废旧灯泡（管），及其拆解物</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经冶炼、提纯生产的金属及合金（不包括铁及铁合金）</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产品原料</w:t>
            </w:r>
            <w:r>
              <w:rPr>
                <w:rFonts w:ascii="Calibri" w:hAnsi="Calibri" w:cs="Calibri" w:eastAsia="Calibri"/>
                <w:color w:val="auto"/>
                <w:spacing w:val="0"/>
                <w:position w:val="0"/>
                <w:sz w:val="21"/>
                <w:shd w:fill="auto" w:val="clear"/>
              </w:rPr>
              <w:t xml:space="preserve">70%</w:t>
            </w:r>
            <w:r>
              <w:rPr>
                <w:rFonts w:ascii="宋体" w:hAnsi="宋体" w:cs="宋体" w:eastAsia="宋体"/>
                <w:color w:val="auto"/>
                <w:spacing w:val="0"/>
                <w:position w:val="0"/>
                <w:sz w:val="21"/>
                <w:shd w:fill="auto" w:val="clear"/>
              </w:rPr>
              <w:t xml:space="preserve">来自所列资源；</w:t>
            </w:r>
          </w:p>
          <w:p>
            <w:pPr>
              <w:widowControl w:val="false"/>
              <w:spacing w:before="0" w:after="0" w:line="30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法律、法规或规章对相关废旧产品拆解规定了资质条件的，纳税人应当取得相应的资质。</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30%</w:t>
            </w:r>
          </w:p>
        </w:tc>
      </w:tr>
      <w:tr>
        <w:trPr>
          <w:trHeight w:val="720" w:hRule="auto"/>
          <w:jc w:val="center"/>
        </w:trPr>
        <w:tc>
          <w:tcPr>
            <w:tcW w:w="1008"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3.4</w:t>
            </w:r>
          </w:p>
        </w:tc>
        <w:tc>
          <w:tcPr>
            <w:tcW w:w="32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废催化剂、电解废弃物、电镀废弃物、废旧线路板、烟尘灰、湿法泥、熔炼渣、线路板蚀刻废液、锡箔纸灰</w:t>
            </w:r>
          </w:p>
        </w:tc>
        <w:tc>
          <w:tcPr>
            <w:tcW w:w="31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经冶炼、提纯或化合生产的金属、合金及金属化合物（不包括铁及铁合金），冰晶石</w:t>
            </w:r>
          </w:p>
        </w:tc>
        <w:tc>
          <w:tcPr>
            <w:tcW w:w="46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产品原料</w:t>
            </w:r>
            <w:r>
              <w:rPr>
                <w:rFonts w:ascii="Calibri" w:hAnsi="Calibri" w:cs="Calibri" w:eastAsia="Calibri"/>
                <w:color w:val="auto"/>
                <w:spacing w:val="0"/>
                <w:position w:val="0"/>
                <w:sz w:val="21"/>
                <w:shd w:fill="auto" w:val="clear"/>
              </w:rPr>
              <w:t xml:space="preserve">70%</w:t>
            </w:r>
            <w:r>
              <w:rPr>
                <w:rFonts w:ascii="宋体" w:hAnsi="宋体" w:cs="宋体" w:eastAsia="宋体"/>
                <w:color w:val="auto"/>
                <w:spacing w:val="0"/>
                <w:position w:val="0"/>
                <w:sz w:val="21"/>
                <w:shd w:fill="auto" w:val="clear"/>
              </w:rPr>
              <w:t xml:space="preserve">来自所列资源；</w:t>
            </w:r>
            <w:r>
              <w:rPr>
                <w:rFonts w:ascii="Calibri" w:hAnsi="Calibri" w:cs="Calibri" w:eastAsia="Calibri"/>
                <w:color w:val="auto"/>
                <w:spacing w:val="0"/>
                <w:position w:val="0"/>
                <w:sz w:val="21"/>
                <w:shd w:fill="auto" w:val="clear"/>
              </w:rPr>
              <w:br/>
              <w:t xml:space="preserve">2.</w:t>
            </w:r>
            <w:r>
              <w:rPr>
                <w:rFonts w:ascii="宋体" w:hAnsi="宋体" w:cs="宋体" w:eastAsia="宋体"/>
                <w:color w:val="auto"/>
                <w:spacing w:val="0"/>
                <w:position w:val="0"/>
                <w:sz w:val="21"/>
                <w:shd w:fill="auto" w:val="clear"/>
              </w:rPr>
              <w:t xml:space="preserve">纳税人必须通过ISO9000、ISO14000认证。</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30%</w:t>
            </w:r>
          </w:p>
        </w:tc>
      </w:tr>
      <w:tr>
        <w:trPr>
          <w:trHeight w:val="720" w:hRule="auto"/>
          <w:jc w:val="center"/>
        </w:trPr>
        <w:tc>
          <w:tcPr>
            <w:tcW w:w="1008"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3.5</w:t>
            </w:r>
          </w:p>
        </w:tc>
        <w:tc>
          <w:tcPr>
            <w:tcW w:w="32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报废汽车、报废摩托车、报废船舶、废旧电器电子产品、废旧农机具、报废机器设备、废旧生活用品、工业边角余料、建筑拆解物等产生或拆解出来的废钢铁</w:t>
            </w:r>
          </w:p>
        </w:tc>
        <w:tc>
          <w:tcPr>
            <w:tcW w:w="31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炼钢炉料</w:t>
            </w:r>
          </w:p>
        </w:tc>
        <w:tc>
          <w:tcPr>
            <w:tcW w:w="46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widowControl w:val="false"/>
              <w:spacing w:before="0" w:after="0" w:line="30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产品原料</w:t>
            </w:r>
            <w:r>
              <w:rPr>
                <w:rFonts w:ascii="Calibri" w:hAnsi="Calibri" w:cs="Calibri" w:eastAsia="Calibri"/>
                <w:color w:val="auto"/>
                <w:spacing w:val="0"/>
                <w:position w:val="0"/>
                <w:sz w:val="21"/>
                <w:shd w:fill="auto" w:val="clear"/>
              </w:rPr>
              <w:t xml:space="preserve">95%</w:t>
            </w:r>
            <w:r>
              <w:rPr>
                <w:rFonts w:ascii="宋体" w:hAnsi="宋体" w:cs="宋体" w:eastAsia="宋体"/>
                <w:color w:val="auto"/>
                <w:spacing w:val="0"/>
                <w:position w:val="0"/>
                <w:sz w:val="21"/>
                <w:shd w:fill="auto" w:val="clear"/>
              </w:rPr>
              <w:t xml:space="preserve">以上来自所列资源；</w:t>
            </w:r>
          </w:p>
          <w:p>
            <w:pPr>
              <w:widowControl w:val="false"/>
              <w:spacing w:before="0" w:after="0" w:line="30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炼钢炉料符合《废钢铁》（</w:t>
            </w:r>
            <w:r>
              <w:rPr>
                <w:rFonts w:ascii="Calibri" w:hAnsi="Calibri" w:cs="Calibri" w:eastAsia="Calibri"/>
                <w:color w:val="auto"/>
                <w:spacing w:val="0"/>
                <w:position w:val="0"/>
                <w:sz w:val="21"/>
                <w:shd w:fill="auto" w:val="clear"/>
              </w:rPr>
              <w:t xml:space="preserve">GB4223-2004</w:t>
            </w:r>
            <w:r>
              <w:rPr>
                <w:rFonts w:ascii="宋体" w:hAnsi="宋体" w:cs="宋体" w:eastAsia="宋体"/>
                <w:color w:val="auto"/>
                <w:spacing w:val="0"/>
                <w:position w:val="0"/>
                <w:sz w:val="21"/>
                <w:shd w:fill="auto" w:val="clear"/>
              </w:rPr>
              <w:t xml:space="preserve">）规定的技术要求；</w:t>
            </w:r>
            <w:r>
              <w:rPr>
                <w:rFonts w:ascii="Calibri" w:hAnsi="Calibri" w:cs="Calibri" w:eastAsia="Calibri"/>
                <w:color w:val="auto"/>
                <w:spacing w:val="0"/>
                <w:position w:val="0"/>
                <w:sz w:val="21"/>
                <w:shd w:fill="auto" w:val="clear"/>
              </w:rPr>
              <w:t xml:space="preserve"> </w:t>
            </w:r>
          </w:p>
          <w:p>
            <w:pPr>
              <w:widowControl w:val="false"/>
              <w:spacing w:before="0" w:after="0" w:line="30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法律、法规或规章对相关废旧产品拆解规定了资质条件的，纳税人应当取得相应的资质；</w:t>
            </w:r>
          </w:p>
          <w:p>
            <w:pPr>
              <w:widowControl w:val="false"/>
              <w:spacing w:before="0" w:after="0" w:line="30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纳税人符合工业和信息化部《废钢铁加工行业准入条件》的相关规定；</w:t>
            </w:r>
            <w:r>
              <w:rPr>
                <w:rFonts w:ascii="Calibri" w:hAnsi="Calibri" w:cs="Calibri" w:eastAsia="Calibri"/>
                <w:color w:val="auto"/>
                <w:spacing w:val="0"/>
                <w:position w:val="0"/>
                <w:sz w:val="21"/>
                <w:shd w:fill="auto" w:val="clear"/>
              </w:rPr>
              <w:t xml:space="preserve"> </w:t>
            </w:r>
          </w:p>
          <w:p>
            <w:pPr>
              <w:widowControl w:val="false"/>
              <w:spacing w:before="0" w:after="0" w:line="30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炼钢炉料的销售对象应为符合工业和信息化部《钢铁行业规范条件》或《铸造行业准入条件》并公告的钢铁企业或铸造企业。</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30%</w:t>
            </w:r>
          </w:p>
        </w:tc>
      </w:tr>
      <w:tr>
        <w:trPr>
          <w:trHeight w:val="720" w:hRule="auto"/>
          <w:jc w:val="center"/>
        </w:trPr>
        <w:tc>
          <w:tcPr>
            <w:tcW w:w="1008"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3.6</w:t>
            </w:r>
          </w:p>
        </w:tc>
        <w:tc>
          <w:tcPr>
            <w:tcW w:w="32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稀土产品加工废料，废弃稀土产品及拆解物</w:t>
            </w:r>
          </w:p>
        </w:tc>
        <w:tc>
          <w:tcPr>
            <w:tcW w:w="31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稀土金属及稀土氧化物</w:t>
            </w:r>
          </w:p>
        </w:tc>
        <w:tc>
          <w:tcPr>
            <w:tcW w:w="46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产品原料</w:t>
            </w:r>
            <w:r>
              <w:rPr>
                <w:rFonts w:ascii="Calibri" w:hAnsi="Calibri" w:cs="Calibri" w:eastAsia="Calibri"/>
                <w:color w:val="auto"/>
                <w:spacing w:val="0"/>
                <w:position w:val="0"/>
                <w:sz w:val="21"/>
                <w:shd w:fill="auto" w:val="clear"/>
              </w:rPr>
              <w:t xml:space="preserve">95%</w:t>
            </w:r>
            <w:r>
              <w:rPr>
                <w:rFonts w:ascii="宋体" w:hAnsi="宋体" w:cs="宋体" w:eastAsia="宋体"/>
                <w:color w:val="auto"/>
                <w:spacing w:val="0"/>
                <w:position w:val="0"/>
                <w:sz w:val="21"/>
                <w:shd w:fill="auto" w:val="clear"/>
              </w:rPr>
              <w:t xml:space="preserve">以上来自所列资源；</w:t>
            </w:r>
          </w:p>
          <w:p>
            <w:pPr>
              <w:widowControl w:val="false"/>
              <w:spacing w:before="0" w:after="0" w:line="30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纳税人符合国家发展改革委、环境保护部、工业和信息化部《稀土冶炼行业清洁生产评价指标体系》规定的技术要求。</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30%</w:t>
            </w:r>
          </w:p>
        </w:tc>
      </w:tr>
      <w:tr>
        <w:trPr>
          <w:trHeight w:val="2368" w:hRule="auto"/>
          <w:jc w:val="center"/>
        </w:trPr>
        <w:tc>
          <w:tcPr>
            <w:tcW w:w="1008"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　3.7</w:t>
            </w:r>
          </w:p>
        </w:tc>
        <w:tc>
          <w:tcPr>
            <w:tcW w:w="3202"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废塑料、废旧聚氯乙烯（PVC）制品、废铝塑（纸铝、纸塑）复合纸包装材料</w:t>
            </w:r>
          </w:p>
        </w:tc>
        <w:tc>
          <w:tcPr>
            <w:tcW w:w="317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汽油、柴油、石油焦、碳黑、再生纸浆、铝粉、塑木（木塑）制品、（汽车、摩托车、家电、管材用）改性再生专用料、化纤用再生聚酯专用料、瓶用再生聚对苯二甲酸乙二醇酯（PET）树脂及再生塑料制品</w:t>
            </w:r>
          </w:p>
        </w:tc>
        <w:tc>
          <w:tcPr>
            <w:tcW w:w="46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产品原料</w:t>
            </w:r>
            <w:r>
              <w:rPr>
                <w:rFonts w:ascii="Calibri" w:hAnsi="Calibri" w:cs="Calibri" w:eastAsia="Calibri"/>
                <w:color w:val="auto"/>
                <w:spacing w:val="0"/>
                <w:position w:val="0"/>
                <w:sz w:val="21"/>
                <w:shd w:fill="auto" w:val="clear"/>
              </w:rPr>
              <w:t xml:space="preserve">70%</w:t>
            </w:r>
            <w:r>
              <w:rPr>
                <w:rFonts w:ascii="宋体" w:hAnsi="宋体" w:cs="宋体" w:eastAsia="宋体"/>
                <w:color w:val="auto"/>
                <w:spacing w:val="0"/>
                <w:position w:val="0"/>
                <w:sz w:val="21"/>
                <w:shd w:fill="auto" w:val="clear"/>
              </w:rPr>
              <w:t xml:space="preserve">以上来自所列资源；</w:t>
            </w:r>
            <w:r>
              <w:rPr>
                <w:rFonts w:ascii="Calibri" w:hAnsi="Calibri" w:cs="Calibri" w:eastAsia="Calibri"/>
                <w:color w:val="auto"/>
                <w:spacing w:val="0"/>
                <w:position w:val="0"/>
                <w:sz w:val="21"/>
                <w:shd w:fill="auto" w:val="clear"/>
              </w:rPr>
              <w:br/>
              <w:t xml:space="preserve">2.</w:t>
            </w:r>
            <w:r>
              <w:rPr>
                <w:rFonts w:ascii="宋体" w:hAnsi="宋体" w:cs="宋体" w:eastAsia="宋体"/>
                <w:color w:val="auto"/>
                <w:spacing w:val="0"/>
                <w:position w:val="0"/>
                <w:sz w:val="21"/>
                <w:shd w:fill="auto" w:val="clear"/>
              </w:rPr>
              <w:t xml:space="preserve">化纤用再生聚酯专用料杂质含量低于</w:t>
            </w:r>
            <w:r>
              <w:rPr>
                <w:rFonts w:ascii="Calibri" w:hAnsi="Calibri" w:cs="Calibri" w:eastAsia="Calibri"/>
                <w:color w:val="auto"/>
                <w:spacing w:val="0"/>
                <w:position w:val="0"/>
                <w:sz w:val="21"/>
                <w:shd w:fill="auto" w:val="clear"/>
              </w:rPr>
              <w:t xml:space="preserve">0.5㎎/g</w:t>
            </w:r>
            <w:r>
              <w:rPr>
                <w:rFonts w:ascii="宋体" w:hAnsi="宋体" w:cs="宋体" w:eastAsia="宋体"/>
                <w:color w:val="auto"/>
                <w:spacing w:val="0"/>
                <w:position w:val="0"/>
                <w:sz w:val="21"/>
                <w:shd w:fill="auto" w:val="clear"/>
              </w:rPr>
              <w:t xml:space="preserve">、水分含量低于</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，瓶用再生聚对苯二甲酸乙二醇酯（</w:t>
            </w:r>
            <w:r>
              <w:rPr>
                <w:rFonts w:ascii="Calibri" w:hAnsi="Calibri" w:cs="Calibri" w:eastAsia="Calibri"/>
                <w:color w:val="auto"/>
                <w:spacing w:val="0"/>
                <w:position w:val="0"/>
                <w:sz w:val="21"/>
                <w:shd w:fill="auto" w:val="clear"/>
              </w:rPr>
              <w:t xml:space="preserve">PET</w:t>
            </w:r>
            <w:r>
              <w:rPr>
                <w:rFonts w:ascii="宋体" w:hAnsi="宋体" w:cs="宋体" w:eastAsia="宋体"/>
                <w:color w:val="auto"/>
                <w:spacing w:val="0"/>
                <w:position w:val="0"/>
                <w:sz w:val="21"/>
                <w:shd w:fill="auto" w:val="clear"/>
              </w:rPr>
              <w:t xml:space="preserve">）树脂乙醛质量分数小于等于</w:t>
            </w:r>
            <w:r>
              <w:rPr>
                <w:rFonts w:ascii="Calibri" w:hAnsi="Calibri" w:cs="Calibri" w:eastAsia="Calibri"/>
                <w:color w:val="auto"/>
                <w:spacing w:val="0"/>
                <w:position w:val="0"/>
                <w:sz w:val="21"/>
                <w:shd w:fill="auto" w:val="clear"/>
              </w:rPr>
              <w:t xml:space="preserve">1ug/g</w:t>
            </w:r>
            <w:r>
              <w:rPr>
                <w:rFonts w:ascii="宋体" w:hAnsi="宋体" w:cs="宋体" w:eastAsia="宋体"/>
                <w:color w:val="auto"/>
                <w:spacing w:val="0"/>
                <w:position w:val="0"/>
                <w:sz w:val="21"/>
                <w:shd w:fill="auto" w:val="clear"/>
              </w:rPr>
              <w:t xml:space="preserve">；</w:t>
            </w:r>
          </w:p>
          <w:p>
            <w:pPr>
              <w:widowControl w:val="false"/>
              <w:spacing w:before="0" w:after="0" w:line="30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纳税人必须通过</w:t>
            </w:r>
            <w:r>
              <w:rPr>
                <w:rFonts w:ascii="Calibri" w:hAnsi="Calibri" w:cs="Calibri" w:eastAsia="Calibri"/>
                <w:color w:val="auto"/>
                <w:spacing w:val="0"/>
                <w:position w:val="0"/>
                <w:sz w:val="21"/>
                <w:shd w:fill="auto" w:val="clear"/>
              </w:rPr>
              <w:t xml:space="preserve">ISO9000</w:t>
            </w: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ISO14000</w:t>
            </w:r>
            <w:r>
              <w:rPr>
                <w:rFonts w:ascii="宋体" w:hAnsi="宋体" w:cs="宋体" w:eastAsia="宋体"/>
                <w:color w:val="auto"/>
                <w:spacing w:val="0"/>
                <w:position w:val="0"/>
                <w:sz w:val="21"/>
                <w:shd w:fill="auto" w:val="clear"/>
              </w:rPr>
              <w:t xml:space="preserve">认证。</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r>
      <w:tr>
        <w:trPr>
          <w:trHeight w:val="737" w:hRule="auto"/>
          <w:jc w:val="center"/>
        </w:trPr>
        <w:tc>
          <w:tcPr>
            <w:tcW w:w="1008"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3.8</w:t>
            </w:r>
          </w:p>
        </w:tc>
        <w:tc>
          <w:tcPr>
            <w:tcW w:w="3202"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废纸、农作物秸秆</w:t>
            </w:r>
          </w:p>
        </w:tc>
        <w:tc>
          <w:tcPr>
            <w:tcW w:w="3177"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纸浆、秸秆浆和纸</w:t>
            </w:r>
          </w:p>
        </w:tc>
        <w:tc>
          <w:tcPr>
            <w:tcW w:w="46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1.产品原料70%以上来自所列资源；</w:t>
            </w:r>
          </w:p>
          <w:p>
            <w:pPr>
              <w:widowControl w:val="false"/>
              <w:spacing w:before="0" w:after="0" w:line="3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2.废水排放符合《制浆造纸工业水污染物排放标准》（GB3544-2008）规定的技术要求；</w:t>
            </w:r>
          </w:p>
          <w:p>
            <w:pPr>
              <w:widowControl w:val="false"/>
              <w:spacing w:before="0" w:after="0" w:line="3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3.纳税人符合《制浆造纸行业清洁生产评价指标体系》规定的技术要求；</w:t>
            </w:r>
          </w:p>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4.纳税人必须通过ISO9000、ISO14000认证。</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r>
      <w:tr>
        <w:trPr>
          <w:trHeight w:val="1258" w:hRule="auto"/>
          <w:jc w:val="center"/>
        </w:trPr>
        <w:tc>
          <w:tcPr>
            <w:tcW w:w="1008"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3.9</w:t>
            </w:r>
          </w:p>
        </w:tc>
        <w:tc>
          <w:tcPr>
            <w:tcW w:w="3202"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废旧轮胎、废橡胶制品</w:t>
            </w:r>
          </w:p>
        </w:tc>
        <w:tc>
          <w:tcPr>
            <w:tcW w:w="317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胶粉、翻新轮胎、再生橡胶</w:t>
            </w:r>
          </w:p>
        </w:tc>
        <w:tc>
          <w:tcPr>
            <w:tcW w:w="46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1.产品原料</w:t>
            </w:r>
            <w:r>
              <w:rPr>
                <w:rFonts w:ascii="Calibri" w:hAnsi="Calibri" w:cs="Calibri" w:eastAsia="Calibri"/>
                <w:color w:val="auto"/>
                <w:spacing w:val="0"/>
                <w:position w:val="0"/>
                <w:sz w:val="21"/>
                <w:shd w:fill="auto" w:val="clear"/>
              </w:rPr>
              <w:t xml:space="preserve">95%</w:t>
            </w:r>
            <w:r>
              <w:rPr>
                <w:rFonts w:ascii="宋体" w:hAnsi="宋体" w:cs="宋体" w:eastAsia="宋体"/>
                <w:color w:val="auto"/>
                <w:spacing w:val="0"/>
                <w:position w:val="0"/>
                <w:sz w:val="21"/>
                <w:shd w:fill="auto" w:val="clear"/>
              </w:rPr>
              <w:t xml:space="preserve">以上来自所列资源；</w:t>
            </w:r>
          </w:p>
          <w:p>
            <w:pPr>
              <w:widowControl w:val="false"/>
              <w:spacing w:before="0" w:after="0" w:line="3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2.胶粉符合（GB/T19208—2008）规定的技术要求；翻新轮胎符合（GB7037—2007）、（GB14646—2007）或（HG/T3979—2007）规定的技术要求；再生橡胶符合（GB/T13460—2008）规定的技术要求；</w:t>
            </w:r>
          </w:p>
          <w:p>
            <w:pPr>
              <w:widowControl w:val="false"/>
              <w:spacing w:before="0" w:after="0" w:line="3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3.纳税人必须通过ISO9000、ISO14000认证。</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r>
      <w:tr>
        <w:trPr>
          <w:trHeight w:val="480" w:hRule="auto"/>
          <w:jc w:val="center"/>
        </w:trPr>
        <w:tc>
          <w:tcPr>
            <w:tcW w:w="1008"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3.10</w:t>
            </w:r>
          </w:p>
        </w:tc>
        <w:tc>
          <w:tcPr>
            <w:tcW w:w="3202"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废弃天然纤维、化学纤维及其制品</w:t>
            </w:r>
          </w:p>
        </w:tc>
        <w:tc>
          <w:tcPr>
            <w:tcW w:w="317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纤维纱及织布、无纺布、毡、粘合剂及再生聚酯产品</w:t>
            </w:r>
          </w:p>
        </w:tc>
        <w:tc>
          <w:tcPr>
            <w:tcW w:w="46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产品原料90%以上来自所列资源。</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r>
      <w:tr>
        <w:trPr>
          <w:trHeight w:val="480" w:hRule="auto"/>
          <w:jc w:val="center"/>
        </w:trPr>
        <w:tc>
          <w:tcPr>
            <w:tcW w:w="1008"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3.11</w:t>
            </w:r>
          </w:p>
        </w:tc>
        <w:tc>
          <w:tcPr>
            <w:tcW w:w="3202"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人发</w:t>
            </w:r>
          </w:p>
        </w:tc>
        <w:tc>
          <w:tcPr>
            <w:tcW w:w="317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档发</w:t>
            </w:r>
          </w:p>
        </w:tc>
        <w:tc>
          <w:tcPr>
            <w:tcW w:w="46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产品原料90%以上来自所列资源。</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70%</w:t>
            </w:r>
          </w:p>
        </w:tc>
      </w:tr>
      <w:tr>
        <w:trPr>
          <w:trHeight w:val="480" w:hRule="auto"/>
          <w:jc w:val="center"/>
        </w:trPr>
        <w:tc>
          <w:tcPr>
            <w:tcW w:w="100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3.12</w:t>
            </w:r>
          </w:p>
        </w:tc>
        <w:tc>
          <w:tcPr>
            <w:tcW w:w="3202"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废玻璃</w:t>
            </w:r>
          </w:p>
        </w:tc>
        <w:tc>
          <w:tcPr>
            <w:tcW w:w="317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玻璃熟料</w:t>
            </w:r>
          </w:p>
        </w:tc>
        <w:tc>
          <w:tcPr>
            <w:tcW w:w="46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1.产品原料</w:t>
            </w:r>
            <w:r>
              <w:rPr>
                <w:rFonts w:ascii="Calibri" w:hAnsi="Calibri" w:cs="Calibri" w:eastAsia="Calibri"/>
                <w:color w:val="auto"/>
                <w:spacing w:val="0"/>
                <w:position w:val="0"/>
                <w:sz w:val="21"/>
                <w:shd w:fill="auto" w:val="clear"/>
              </w:rPr>
              <w:t xml:space="preserve">95%</w:t>
            </w:r>
            <w:r>
              <w:rPr>
                <w:rFonts w:ascii="宋体" w:hAnsi="宋体" w:cs="宋体" w:eastAsia="宋体"/>
                <w:color w:val="auto"/>
                <w:spacing w:val="0"/>
                <w:position w:val="0"/>
                <w:sz w:val="21"/>
                <w:shd w:fill="auto" w:val="clear"/>
              </w:rPr>
              <w:t xml:space="preserve">以上来自所列资源；</w:t>
            </w:r>
          </w:p>
          <w:p>
            <w:pPr>
              <w:widowControl w:val="false"/>
              <w:spacing w:before="0" w:after="0" w:line="3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2.产品符合《废玻璃分类》（SB/T 10900-2012）的技术要求；</w:t>
            </w:r>
          </w:p>
          <w:p>
            <w:pPr>
              <w:widowControl w:val="false"/>
              <w:spacing w:before="0" w:after="0" w:line="3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3.纳税人符合《废玻璃回收分拣技术规范》（SB/T11108-2014）规定的技术要求。</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r>
      <w:tr>
        <w:trPr>
          <w:trHeight w:val="2154" w:hRule="auto"/>
          <w:jc w:val="center"/>
        </w:trPr>
        <w:tc>
          <w:tcPr>
            <w:tcW w:w="100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四、农林剩余物及其他</w:t>
            </w:r>
          </w:p>
        </w:tc>
        <w:tc>
          <w:tcPr>
            <w:tcW w:w="70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4.1</w:t>
            </w:r>
          </w:p>
        </w:tc>
        <w:tc>
          <w:tcPr>
            <w:tcW w:w="3202"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餐厨垃圾、畜禽粪便、稻壳、花生壳、玉米芯、油茶壳、棉籽壳、三剩物、次小薪材、农作物秸秆、蔗渣，以及利用上述资源发酵产生的沼气</w:t>
            </w:r>
          </w:p>
        </w:tc>
        <w:tc>
          <w:tcPr>
            <w:tcW w:w="317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生物质压块、沼气等燃料，电力、热力</w:t>
            </w:r>
          </w:p>
        </w:tc>
        <w:tc>
          <w:tcPr>
            <w:tcW w:w="46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1.产品原料或者燃料80%以上来自所列资源；</w:t>
              <w:br/>
              <w:t xml:space="preserve">2.纳税人符合《锅炉大气污染物排放标准》（GB13271-2014）、《火电厂大气污染物排放标准》（GB13223—2011）或《生活垃圾焚烧污染控制标准》（GB18485—2001）规定的技术要求。</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r>
      <w:tr>
        <w:trPr>
          <w:trHeight w:val="1209" w:hRule="auto"/>
          <w:jc w:val="center"/>
        </w:trPr>
        <w:tc>
          <w:tcPr>
            <w:tcW w:w="100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4.2</w:t>
            </w:r>
          </w:p>
        </w:tc>
        <w:tc>
          <w:tcPr>
            <w:tcW w:w="32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三剩物、次小薪材、农作物秸秆、沙柳</w:t>
            </w:r>
          </w:p>
        </w:tc>
        <w:tc>
          <w:tcPr>
            <w:tcW w:w="31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纤维板、刨花板，细木工板、生物炭、活性炭、栲胶、水解酒精、纤维素、木质素、木糖、阿拉伯糖、糠醛、箱板纸</w:t>
            </w:r>
          </w:p>
        </w:tc>
        <w:tc>
          <w:tcPr>
            <w:tcW w:w="46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产品原料</w:t>
            </w:r>
            <w:r>
              <w:rPr>
                <w:rFonts w:ascii="Calibri" w:hAnsi="Calibri" w:cs="Calibri" w:eastAsia="Calibri"/>
                <w:color w:val="auto"/>
                <w:spacing w:val="0"/>
                <w:position w:val="0"/>
                <w:sz w:val="21"/>
                <w:shd w:fill="auto" w:val="clear"/>
              </w:rPr>
              <w:t xml:space="preserve">95%</w:t>
            </w:r>
            <w:r>
              <w:rPr>
                <w:rFonts w:ascii="宋体" w:hAnsi="宋体" w:cs="宋体" w:eastAsia="宋体"/>
                <w:color w:val="auto"/>
                <w:spacing w:val="0"/>
                <w:position w:val="0"/>
                <w:sz w:val="21"/>
                <w:shd w:fill="auto" w:val="clear"/>
              </w:rPr>
              <w:t xml:space="preserve">以上来自所列资源。</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70%</w:t>
            </w:r>
          </w:p>
        </w:tc>
      </w:tr>
      <w:tr>
        <w:trPr>
          <w:trHeight w:val="797" w:hRule="auto"/>
          <w:jc w:val="center"/>
        </w:trPr>
        <w:tc>
          <w:tcPr>
            <w:tcW w:w="100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4.3</w:t>
            </w:r>
          </w:p>
        </w:tc>
        <w:tc>
          <w:tcPr>
            <w:tcW w:w="32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废弃动物油和植物油</w:t>
            </w:r>
          </w:p>
        </w:tc>
        <w:tc>
          <w:tcPr>
            <w:tcW w:w="31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生物柴油、工业级混合油</w:t>
            </w:r>
          </w:p>
        </w:tc>
        <w:tc>
          <w:tcPr>
            <w:tcW w:w="46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1.产品原料70%以上来自所列资源；</w:t>
            </w:r>
          </w:p>
          <w:p>
            <w:pPr>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2.工业级混合油的销售对象须为化工企业。</w:t>
            </w:r>
          </w:p>
        </w:tc>
        <w:tc>
          <w:tcPr>
            <w:tcW w:w="1154"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70%</w:t>
            </w:r>
          </w:p>
        </w:tc>
      </w:tr>
      <w:tr>
        <w:trPr>
          <w:trHeight w:val="750" w:hRule="auto"/>
          <w:jc w:val="center"/>
        </w:trPr>
        <w:tc>
          <w:tcPr>
            <w:tcW w:w="100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五、资源综合利用劳务</w:t>
            </w:r>
          </w:p>
        </w:tc>
        <w:tc>
          <w:tcPr>
            <w:tcW w:w="70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5.1</w:t>
            </w:r>
          </w:p>
        </w:tc>
        <w:tc>
          <w:tcPr>
            <w:tcW w:w="3202"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垃圾处理、污泥处理处置劳务</w:t>
            </w:r>
          </w:p>
        </w:tc>
        <w:tc>
          <w:tcPr>
            <w:tcW w:w="317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　</w:t>
            </w:r>
          </w:p>
        </w:tc>
        <w:tc>
          <w:tcPr>
            <w:tcW w:w="46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z w:val="22"/>
                <w:shd w:fill="auto" w:val="clear"/>
              </w:rPr>
            </w:pP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70%</w:t>
            </w:r>
          </w:p>
        </w:tc>
      </w:tr>
      <w:tr>
        <w:trPr>
          <w:trHeight w:val="750"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5.2</w:t>
            </w:r>
          </w:p>
        </w:tc>
        <w:tc>
          <w:tcPr>
            <w:tcW w:w="3202"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污水处理劳务</w:t>
            </w:r>
          </w:p>
        </w:tc>
        <w:tc>
          <w:tcPr>
            <w:tcW w:w="317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z w:val="22"/>
                <w:shd w:fill="auto" w:val="clear"/>
              </w:rPr>
            </w:pPr>
          </w:p>
        </w:tc>
        <w:tc>
          <w:tcPr>
            <w:tcW w:w="46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污水经加工处理后符合《城镇污水处理厂污染物排放标准》（GB18918—2002）规定的技术要求或达到相应的国家或地方水污染物排放标准中的直接排放限值。</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70%</w:t>
            </w:r>
          </w:p>
        </w:tc>
      </w:tr>
      <w:tr>
        <w:trPr>
          <w:trHeight w:val="750" w:hRule="auto"/>
          <w:jc w:val="center"/>
        </w:trPr>
        <w:tc>
          <w:tcPr>
            <w:tcW w:w="100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0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5.3</w:t>
            </w:r>
          </w:p>
        </w:tc>
        <w:tc>
          <w:tcPr>
            <w:tcW w:w="3202"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工业废气处理劳务</w:t>
            </w:r>
          </w:p>
        </w:tc>
        <w:tc>
          <w:tcPr>
            <w:tcW w:w="317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z w:val="22"/>
                <w:shd w:fill="auto" w:val="clear"/>
              </w:rPr>
            </w:pPr>
          </w:p>
        </w:tc>
        <w:tc>
          <w:tcPr>
            <w:tcW w:w="46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widowControl w:val="false"/>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经治理、处理后符合《大气污染物综合排放标准》（GB 16297-1996）规定的技术要求或达到相应的国家或地方水污染物排放标准中的直接排放限值。</w:t>
            </w:r>
          </w:p>
        </w:tc>
        <w:tc>
          <w:tcPr>
            <w:tcW w:w="11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70%</w:t>
            </w:r>
          </w:p>
        </w:tc>
      </w:tr>
    </w:tbl>
    <w:p>
      <w:pPr>
        <w:spacing w:before="0" w:after="0" w:line="240"/>
        <w:ind w:right="0" w:left="0" w:firstLine="0"/>
        <w:jc w:val="both"/>
        <w:rPr>
          <w:rFonts w:ascii="Calibri" w:hAnsi="Calibri" w:cs="Calibri" w:eastAsia="Calibri"/>
          <w:color w:val="000000"/>
          <w:spacing w:val="0"/>
          <w:position w:val="0"/>
          <w:sz w:val="21"/>
          <w:shd w:fill="auto" w:val="clear"/>
        </w:rPr>
      </w:pPr>
      <w:r>
        <w:rPr>
          <w:rFonts w:ascii="宋体" w:hAnsi="宋体" w:cs="宋体" w:eastAsia="宋体"/>
          <w:color w:val="000000"/>
          <w:spacing w:val="0"/>
          <w:position w:val="0"/>
          <w:sz w:val="21"/>
          <w:shd w:fill="auto" w:val="clear"/>
        </w:rPr>
        <w:t xml:space="preserve">备注：</w:t>
      </w:r>
    </w:p>
    <w:p>
      <w:pPr>
        <w:spacing w:before="0" w:after="0" w:line="240"/>
        <w:ind w:right="0" w:left="0" w:firstLine="42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1. </w:t>
      </w:r>
      <w:r>
        <w:rPr>
          <w:rFonts w:ascii="宋体" w:hAnsi="宋体" w:cs="宋体" w:eastAsia="宋体"/>
          <w:color w:val="000000"/>
          <w:spacing w:val="0"/>
          <w:position w:val="0"/>
          <w:sz w:val="21"/>
          <w:shd w:fill="auto" w:val="clear"/>
        </w:rPr>
        <w:t xml:space="preserve">概念和定义。</w:t>
      </w:r>
    </w:p>
    <w:p>
      <w:pPr>
        <w:spacing w:before="0" w:after="0" w:line="240"/>
        <w:ind w:right="0" w:left="0" w:firstLine="420"/>
        <w:jc w:val="both"/>
        <w:rPr>
          <w:rFonts w:ascii="Calibri" w:hAnsi="Calibri" w:cs="Calibri" w:eastAsia="Calibri"/>
          <w:color w:val="000000"/>
          <w:spacing w:val="0"/>
          <w:position w:val="0"/>
          <w:sz w:val="21"/>
          <w:shd w:fill="auto" w:val="clear"/>
        </w:rPr>
      </w:pPr>
      <w:r>
        <w:rPr>
          <w:rFonts w:ascii="宋体" w:hAnsi="宋体" w:cs="宋体" w:eastAsia="宋体"/>
          <w:color w:val="000000"/>
          <w:spacing w:val="0"/>
          <w:position w:val="0"/>
          <w:sz w:val="21"/>
          <w:shd w:fill="auto" w:val="clear"/>
        </w:rPr>
        <w:t xml:space="preserve">“纳税人”，是指从事表中所列的资源综合利用项目的增值税一般纳税人。</w:t>
      </w:r>
    </w:p>
    <w:p>
      <w:pPr>
        <w:spacing w:before="0" w:after="0" w:line="240"/>
        <w:ind w:right="0" w:left="0" w:firstLine="420"/>
        <w:jc w:val="both"/>
        <w:rPr>
          <w:rFonts w:ascii="Calibri" w:hAnsi="Calibri" w:cs="Calibri" w:eastAsia="Calibri"/>
          <w:color w:val="000000"/>
          <w:spacing w:val="0"/>
          <w:position w:val="0"/>
          <w:sz w:val="21"/>
          <w:shd w:fill="auto" w:val="clear"/>
        </w:rPr>
      </w:pPr>
      <w:r>
        <w:rPr>
          <w:rFonts w:ascii="宋体" w:hAnsi="宋体" w:cs="宋体" w:eastAsia="宋体"/>
          <w:color w:val="000000"/>
          <w:spacing w:val="0"/>
          <w:position w:val="0"/>
          <w:sz w:val="21"/>
          <w:shd w:fill="auto" w:val="clear"/>
        </w:rPr>
        <w:t xml:space="preserve">“废渣”，是指采矿选矿废渣、冶炼废渣、化工废渣和其他废渣。其中，采矿选矿废渣，是指在矿产资源开采加工过程中产生的煤矸石、粉末、粉尘和污泥；冶炼废渣，是指转炉渣、电炉渣、铁合金炉渣、氧化铝赤泥和有色金属灰渣，但不包括高炉水渣；化工废渣，是指硫铁矿渣、硫铁矿煅烧渣、硫酸渣、硫石膏、磷石膏、磷矿煅烧渣、含氰废渣、电石渣、磷肥渣、硫磺渣、碱渣、含钡废渣、铬渣、盐泥、总溶剂渣、黄磷渣、柠檬酸渣、脱硫石膏、氟石膏、钛石膏和废石膏模；其他废渣，是指粉煤灰、燃煤炉渣、江河（湖、海、渠）道淤泥、淤沙、建筑垃圾、废玻璃、污水处理厂处理污水产生的污泥。</w:t>
      </w:r>
      <w:r>
        <w:rPr>
          <w:rFonts w:ascii="Calibri" w:hAnsi="Calibri" w:cs="Calibri" w:eastAsia="Calibri"/>
          <w:color w:val="000000"/>
          <w:spacing w:val="0"/>
          <w:position w:val="0"/>
          <w:sz w:val="21"/>
          <w:shd w:fill="auto" w:val="clear"/>
        </w:rPr>
        <w:t xml:space="preserve"> </w:t>
      </w:r>
    </w:p>
    <w:p>
      <w:pPr>
        <w:spacing w:before="0" w:after="0" w:line="240"/>
        <w:ind w:right="0" w:left="0" w:firstLine="420"/>
        <w:jc w:val="both"/>
        <w:rPr>
          <w:rFonts w:ascii="Calibri" w:hAnsi="Calibri" w:cs="Calibri" w:eastAsia="Calibri"/>
          <w:color w:val="000000"/>
          <w:spacing w:val="0"/>
          <w:position w:val="0"/>
          <w:sz w:val="21"/>
          <w:shd w:fill="auto" w:val="clear"/>
        </w:rPr>
      </w:pPr>
      <w:r>
        <w:rPr>
          <w:rFonts w:ascii="宋体" w:hAnsi="宋体" w:cs="宋体" w:eastAsia="宋体"/>
          <w:color w:val="000000"/>
          <w:spacing w:val="0"/>
          <w:position w:val="0"/>
          <w:sz w:val="21"/>
          <w:shd w:fill="auto" w:val="clear"/>
        </w:rPr>
        <w:t xml:space="preserve">“蔗渣”，是指以甘蔗为原料的制糖生产过程中产生的含纤维</w:t>
      </w:r>
      <w:r>
        <w:rPr>
          <w:rFonts w:ascii="Calibri" w:hAnsi="Calibri" w:cs="Calibri" w:eastAsia="Calibri"/>
          <w:color w:val="000000"/>
          <w:spacing w:val="0"/>
          <w:position w:val="0"/>
          <w:sz w:val="21"/>
          <w:shd w:fill="auto" w:val="clear"/>
        </w:rPr>
        <w:t xml:space="preserve">50%</w:t>
      </w:r>
      <w:r>
        <w:rPr>
          <w:rFonts w:ascii="宋体" w:hAnsi="宋体" w:cs="宋体" w:eastAsia="宋体"/>
          <w:color w:val="000000"/>
          <w:spacing w:val="0"/>
          <w:position w:val="0"/>
          <w:sz w:val="21"/>
          <w:shd w:fill="auto" w:val="clear"/>
        </w:rPr>
        <w:t xml:space="preserve">左右的固体废弃物。</w:t>
      </w:r>
    </w:p>
    <w:p>
      <w:pPr>
        <w:spacing w:before="0" w:after="0" w:line="240"/>
        <w:ind w:right="0" w:left="0" w:firstLine="420"/>
        <w:jc w:val="both"/>
        <w:rPr>
          <w:rFonts w:ascii="Calibri" w:hAnsi="Calibri" w:cs="Calibri" w:eastAsia="Calibri"/>
          <w:b/>
          <w:color w:val="000000"/>
          <w:spacing w:val="0"/>
          <w:position w:val="0"/>
          <w:sz w:val="21"/>
          <w:shd w:fill="auto" w:val="clear"/>
        </w:rPr>
      </w:pPr>
      <w:r>
        <w:rPr>
          <w:rFonts w:ascii="宋体" w:hAnsi="宋体" w:cs="宋体" w:eastAsia="宋体"/>
          <w:color w:val="000000"/>
          <w:spacing w:val="0"/>
          <w:position w:val="0"/>
          <w:sz w:val="21"/>
          <w:shd w:fill="auto" w:val="clear"/>
        </w:rPr>
        <w:t xml:space="preserve">“再生水”，是指对污水处理厂出水、工业排水（矿井水）、生活污水、垃圾处理厂渗透（滤）液等水源进行回收，经适当处理后达到一定水质标准，并在一定范围内重复利用的水资源。</w:t>
      </w:r>
      <w:r>
        <w:rPr>
          <w:rFonts w:ascii="Calibri" w:hAnsi="Calibri" w:cs="Calibri" w:eastAsia="Calibri"/>
          <w:color w:val="000000"/>
          <w:spacing w:val="0"/>
          <w:position w:val="0"/>
          <w:sz w:val="21"/>
          <w:shd w:fill="auto" w:val="clear"/>
        </w:rPr>
        <w:t xml:space="preserve"> </w:t>
      </w:r>
    </w:p>
    <w:p>
      <w:pPr>
        <w:spacing w:before="0" w:after="0" w:line="240"/>
        <w:ind w:right="0" w:left="0" w:firstLine="420"/>
        <w:jc w:val="both"/>
        <w:rPr>
          <w:rFonts w:ascii="Calibri" w:hAnsi="Calibri" w:cs="Calibri" w:eastAsia="Calibri"/>
          <w:color w:val="000000"/>
          <w:spacing w:val="0"/>
          <w:position w:val="0"/>
          <w:sz w:val="21"/>
          <w:shd w:fill="auto" w:val="clear"/>
        </w:rPr>
      </w:pPr>
      <w:r>
        <w:rPr>
          <w:rFonts w:ascii="宋体" w:hAnsi="宋体" w:cs="宋体" w:eastAsia="宋体"/>
          <w:color w:val="000000"/>
          <w:spacing w:val="0"/>
          <w:position w:val="0"/>
          <w:sz w:val="21"/>
          <w:shd w:fill="auto" w:val="clear"/>
        </w:rPr>
        <w:t xml:space="preserve">“冶炼”，是指通过焙烧、熔炼、电解以及使用化学药剂等方法把原料中的金属提取出来，减少金属中所含的杂质或增加金属中某种成分，炼成所需要的金属。冶炼包括火法冶炼、湿法提取或电化学沉积。</w:t>
      </w:r>
    </w:p>
    <w:p>
      <w:pPr>
        <w:spacing w:before="0" w:after="0" w:line="240"/>
        <w:ind w:right="0" w:left="0" w:firstLine="420"/>
        <w:jc w:val="both"/>
        <w:rPr>
          <w:rFonts w:ascii="Calibri" w:hAnsi="Calibri" w:cs="Calibri" w:eastAsia="Calibri"/>
          <w:color w:val="000000"/>
          <w:spacing w:val="0"/>
          <w:position w:val="0"/>
          <w:sz w:val="21"/>
          <w:shd w:fill="auto" w:val="clear"/>
        </w:rPr>
      </w:pPr>
      <w:r>
        <w:rPr>
          <w:rFonts w:ascii="宋体" w:hAnsi="宋体" w:cs="宋体" w:eastAsia="宋体"/>
          <w:color w:val="000000"/>
          <w:spacing w:val="0"/>
          <w:position w:val="0"/>
          <w:sz w:val="21"/>
          <w:shd w:fill="auto" w:val="clear"/>
        </w:rPr>
        <w:t xml:space="preserve">“烟尘灰”，是指金属冶炼厂火法冶炼过程中，为保护环境经除尘器（塔）收集的粉灰状及泥状残料物。</w:t>
      </w:r>
    </w:p>
    <w:p>
      <w:pPr>
        <w:spacing w:before="0" w:after="0" w:line="240"/>
        <w:ind w:right="0" w:left="0" w:firstLine="420"/>
        <w:jc w:val="both"/>
        <w:rPr>
          <w:rFonts w:ascii="Calibri" w:hAnsi="Calibri" w:cs="Calibri" w:eastAsia="Calibri"/>
          <w:color w:val="000000"/>
          <w:spacing w:val="0"/>
          <w:position w:val="0"/>
          <w:sz w:val="21"/>
          <w:shd w:fill="auto" w:val="clear"/>
        </w:rPr>
      </w:pPr>
      <w:r>
        <w:rPr>
          <w:rFonts w:ascii="宋体" w:hAnsi="宋体" w:cs="宋体" w:eastAsia="宋体"/>
          <w:color w:val="000000"/>
          <w:spacing w:val="0"/>
          <w:position w:val="0"/>
          <w:sz w:val="21"/>
          <w:shd w:fill="auto" w:val="clear"/>
        </w:rPr>
        <w:t xml:space="preserve">“湿法泥”，是指湿法冶炼生产排出的污泥，经集中环保处置后产生的中和渣，且具有一定回收价值的污泥状废弃物。</w:t>
      </w:r>
    </w:p>
    <w:p>
      <w:pPr>
        <w:spacing w:before="0" w:after="0" w:line="240"/>
        <w:ind w:right="0" w:left="0" w:firstLine="420"/>
        <w:jc w:val="both"/>
        <w:rPr>
          <w:rFonts w:ascii="Calibri" w:hAnsi="Calibri" w:cs="Calibri" w:eastAsia="Calibri"/>
          <w:b/>
          <w:color w:val="000000"/>
          <w:spacing w:val="0"/>
          <w:position w:val="0"/>
          <w:sz w:val="21"/>
          <w:shd w:fill="auto" w:val="clear"/>
        </w:rPr>
      </w:pPr>
      <w:r>
        <w:rPr>
          <w:rFonts w:ascii="宋体" w:hAnsi="宋体" w:cs="宋体" w:eastAsia="宋体"/>
          <w:color w:val="000000"/>
          <w:spacing w:val="0"/>
          <w:position w:val="0"/>
          <w:sz w:val="21"/>
          <w:shd w:fill="auto" w:val="clear"/>
        </w:rPr>
        <w:t xml:space="preserve">“熔炼渣”，是指有色金属火法冶炼过程中，由于比重的差异，金属成分因比重大沉底形成金属锭，而比重较小的硅、铁、钙等化合物浮在金属表层形成的废渣。</w:t>
      </w:r>
    </w:p>
    <w:p>
      <w:pPr>
        <w:spacing w:before="0" w:after="0" w:line="240"/>
        <w:ind w:right="0" w:left="0" w:firstLine="420"/>
        <w:jc w:val="both"/>
        <w:rPr>
          <w:rFonts w:ascii="Calibri" w:hAnsi="Calibri" w:cs="Calibri" w:eastAsia="Calibri"/>
          <w:color w:val="000000"/>
          <w:spacing w:val="0"/>
          <w:position w:val="0"/>
          <w:sz w:val="21"/>
          <w:shd w:fill="auto" w:val="clear"/>
        </w:rPr>
      </w:pPr>
      <w:r>
        <w:rPr>
          <w:rFonts w:ascii="宋体" w:hAnsi="宋体" w:cs="宋体" w:eastAsia="宋体"/>
          <w:color w:val="000000"/>
          <w:spacing w:val="0"/>
          <w:position w:val="0"/>
          <w:sz w:val="21"/>
          <w:shd w:fill="auto" w:val="clear"/>
        </w:rPr>
        <w:t xml:space="preserve">“农作物秸秆”，是指农业生产过程中，收获了粮食作物（指稻谷、小麦、玉米、薯类等）、油料作物（指油菜籽、花生、大豆、葵花籽、芝麻籽、胡麻籽等）、棉花、麻类、糖料、烟叶、药材、花卉、蔬菜和水果等以后残留的茎秆。</w:t>
      </w:r>
    </w:p>
    <w:p>
      <w:pPr>
        <w:spacing w:before="0" w:after="0" w:line="240"/>
        <w:ind w:right="0" w:left="0" w:firstLine="420"/>
        <w:jc w:val="both"/>
        <w:rPr>
          <w:rFonts w:ascii="Calibri" w:hAnsi="Calibri" w:cs="Calibri" w:eastAsia="Calibri"/>
          <w:color w:val="000000"/>
          <w:spacing w:val="0"/>
          <w:position w:val="0"/>
          <w:sz w:val="21"/>
          <w:shd w:fill="auto" w:val="clear"/>
        </w:rPr>
      </w:pPr>
      <w:r>
        <w:rPr>
          <w:rFonts w:ascii="宋体" w:hAnsi="宋体" w:cs="宋体" w:eastAsia="宋体"/>
          <w:color w:val="000000"/>
          <w:spacing w:val="0"/>
          <w:position w:val="0"/>
          <w:sz w:val="21"/>
          <w:shd w:fill="auto" w:val="clear"/>
        </w:rPr>
        <w:t xml:space="preserve">“三剩物”，是指采伐剩余物（指枝丫、树梢、树皮、树叶、树根及藤条、灌木等）、造材剩余物（指造材截头）和加工剩余物（指板皮、板条、木竹截头、锯沫、碎单板、木芯、刨花、木块、篾黄、边角余料等）。</w:t>
      </w:r>
    </w:p>
    <w:p>
      <w:pPr>
        <w:spacing w:before="0" w:after="0" w:line="240"/>
        <w:ind w:right="0" w:left="0" w:firstLine="420"/>
        <w:jc w:val="both"/>
        <w:rPr>
          <w:rFonts w:ascii="Calibri" w:hAnsi="Calibri" w:cs="Calibri" w:eastAsia="Calibri"/>
          <w:color w:val="000000"/>
          <w:spacing w:val="0"/>
          <w:position w:val="0"/>
          <w:sz w:val="21"/>
          <w:shd w:fill="auto" w:val="clear"/>
        </w:rPr>
      </w:pPr>
      <w:r>
        <w:rPr>
          <w:rFonts w:ascii="宋体" w:hAnsi="宋体" w:cs="宋体" w:eastAsia="宋体"/>
          <w:color w:val="000000"/>
          <w:spacing w:val="0"/>
          <w:position w:val="0"/>
          <w:sz w:val="21"/>
          <w:shd w:fill="auto" w:val="clear"/>
        </w:rPr>
        <w:t xml:space="preserve">“次小薪材”，是指次加工材（指材质低于针、阔叶树加工用原木最低等级但具有一定利用价值的次加工原木，按《次加工原木》（</w:t>
      </w:r>
      <w:r>
        <w:rPr>
          <w:rFonts w:ascii="Calibri" w:hAnsi="Calibri" w:cs="Calibri" w:eastAsia="Calibri"/>
          <w:color w:val="000000"/>
          <w:spacing w:val="0"/>
          <w:position w:val="0"/>
          <w:sz w:val="21"/>
          <w:shd w:fill="auto" w:val="clear"/>
        </w:rPr>
        <w:t xml:space="preserve">LY</w:t>
      </w:r>
      <w:r>
        <w:rPr>
          <w:rFonts w:ascii="宋体" w:hAnsi="宋体" w:cs="宋体" w:eastAsia="宋体"/>
          <w:color w:val="000000"/>
          <w:spacing w:val="0"/>
          <w:position w:val="0"/>
          <w:sz w:val="21"/>
          <w:shd w:fill="auto" w:val="clear"/>
        </w:rPr>
        <w:t xml:space="preserve">／</w:t>
      </w:r>
      <w:r>
        <w:rPr>
          <w:rFonts w:ascii="Calibri" w:hAnsi="Calibri" w:cs="Calibri" w:eastAsia="Calibri"/>
          <w:color w:val="000000"/>
          <w:spacing w:val="0"/>
          <w:position w:val="0"/>
          <w:sz w:val="21"/>
          <w:shd w:fill="auto" w:val="clear"/>
        </w:rPr>
        <w:t xml:space="preserve">T1369</w:t>
      </w:r>
      <w:r>
        <w:rPr>
          <w:rFonts w:ascii="宋体" w:hAnsi="宋体" w:cs="宋体" w:eastAsia="宋体"/>
          <w:color w:val="000000"/>
          <w:spacing w:val="0"/>
          <w:position w:val="0"/>
          <w:sz w:val="21"/>
          <w:shd w:fill="auto" w:val="clear"/>
        </w:rPr>
        <w:t xml:space="preserve">—</w:t>
      </w:r>
      <w:r>
        <w:rPr>
          <w:rFonts w:ascii="Calibri" w:hAnsi="Calibri" w:cs="Calibri" w:eastAsia="Calibri"/>
          <w:color w:val="000000"/>
          <w:spacing w:val="0"/>
          <w:position w:val="0"/>
          <w:sz w:val="21"/>
          <w:shd w:fill="auto" w:val="clear"/>
        </w:rPr>
        <w:t xml:space="preserve">2011</w:t>
      </w:r>
      <w:r>
        <w:rPr>
          <w:rFonts w:ascii="宋体" w:hAnsi="宋体" w:cs="宋体" w:eastAsia="宋体"/>
          <w:color w:val="000000"/>
          <w:spacing w:val="0"/>
          <w:position w:val="0"/>
          <w:sz w:val="21"/>
          <w:shd w:fill="auto" w:val="clear"/>
        </w:rPr>
        <w:t xml:space="preserve">）标准执行）、小径材（指长度在</w:t>
      </w:r>
      <w:r>
        <w:rPr>
          <w:rFonts w:ascii="Calibri" w:hAnsi="Calibri" w:cs="Calibri" w:eastAsia="Calibri"/>
          <w:color w:val="000000"/>
          <w:spacing w:val="0"/>
          <w:position w:val="0"/>
          <w:sz w:val="21"/>
          <w:shd w:fill="auto" w:val="clear"/>
        </w:rPr>
        <w:t xml:space="preserve">2</w:t>
      </w:r>
      <w:r>
        <w:rPr>
          <w:rFonts w:ascii="宋体" w:hAnsi="宋体" w:cs="宋体" w:eastAsia="宋体"/>
          <w:color w:val="000000"/>
          <w:spacing w:val="0"/>
          <w:position w:val="0"/>
          <w:sz w:val="21"/>
          <w:shd w:fill="auto" w:val="clear"/>
        </w:rPr>
        <w:t xml:space="preserve">米以下或径级</w:t>
      </w:r>
      <w:r>
        <w:rPr>
          <w:rFonts w:ascii="Calibri" w:hAnsi="Calibri" w:cs="Calibri" w:eastAsia="Calibri"/>
          <w:color w:val="000000"/>
          <w:spacing w:val="0"/>
          <w:position w:val="0"/>
          <w:sz w:val="21"/>
          <w:shd w:fill="auto" w:val="clear"/>
        </w:rPr>
        <w:t xml:space="preserve">8</w:t>
      </w:r>
      <w:r>
        <w:rPr>
          <w:rFonts w:ascii="宋体" w:hAnsi="宋体" w:cs="宋体" w:eastAsia="宋体"/>
          <w:color w:val="000000"/>
          <w:spacing w:val="0"/>
          <w:position w:val="0"/>
          <w:sz w:val="21"/>
          <w:shd w:fill="auto" w:val="clear"/>
        </w:rPr>
        <w:t xml:space="preserve">厘米以下的小原木条、松木杆、脚手杆、杂木杆、短原木等）和薪材。</w:t>
      </w:r>
    </w:p>
    <w:p>
      <w:pPr>
        <w:spacing w:before="0" w:after="0" w:line="240"/>
        <w:ind w:right="0" w:left="0" w:firstLine="420"/>
        <w:jc w:val="both"/>
        <w:rPr>
          <w:rFonts w:ascii="Calibri" w:hAnsi="Calibri" w:cs="Calibri" w:eastAsia="Calibri"/>
          <w:b/>
          <w:color w:val="000000"/>
          <w:spacing w:val="0"/>
          <w:position w:val="0"/>
          <w:sz w:val="21"/>
          <w:shd w:fill="auto" w:val="clear"/>
        </w:rPr>
      </w:pPr>
      <w:r>
        <w:rPr>
          <w:rFonts w:ascii="宋体" w:hAnsi="宋体" w:cs="宋体" w:eastAsia="宋体"/>
          <w:color w:val="000000"/>
          <w:spacing w:val="0"/>
          <w:position w:val="0"/>
          <w:sz w:val="21"/>
          <w:shd w:fill="auto" w:val="clear"/>
        </w:rPr>
        <w:t xml:space="preserve">“垃圾”，是指城市生活垃圾、农作物秸杆、树皮废渣、污泥、合成革及化纤废弃物、</w:t>
      </w:r>
      <w:r>
        <w:rPr>
          <w:rFonts w:ascii="宋体" w:hAnsi="宋体" w:cs="宋体" w:eastAsia="宋体"/>
          <w:color w:val="auto"/>
          <w:spacing w:val="0"/>
          <w:position w:val="0"/>
          <w:sz w:val="21"/>
          <w:shd w:fill="auto" w:val="clear"/>
        </w:rPr>
        <w:t xml:space="preserve">病死畜禽等养殖废弃物</w:t>
      </w:r>
      <w:r>
        <w:rPr>
          <w:rFonts w:ascii="宋体" w:hAnsi="宋体" w:cs="宋体" w:eastAsia="宋体"/>
          <w:color w:val="000000"/>
          <w:spacing w:val="0"/>
          <w:position w:val="0"/>
          <w:sz w:val="21"/>
          <w:shd w:fill="auto" w:val="clear"/>
        </w:rPr>
        <w:t xml:space="preserve">等垃圾。</w:t>
      </w:r>
    </w:p>
    <w:p>
      <w:pPr>
        <w:spacing w:before="0" w:after="0" w:line="240"/>
        <w:ind w:right="0" w:left="0" w:firstLine="420"/>
        <w:jc w:val="both"/>
        <w:rPr>
          <w:rFonts w:ascii="Calibri" w:hAnsi="Calibri" w:cs="Calibri" w:eastAsia="Calibri"/>
          <w:color w:val="000000"/>
          <w:spacing w:val="0"/>
          <w:position w:val="0"/>
          <w:sz w:val="21"/>
          <w:shd w:fill="auto" w:val="clear"/>
        </w:rPr>
      </w:pPr>
      <w:r>
        <w:rPr>
          <w:rFonts w:ascii="宋体" w:hAnsi="宋体" w:cs="宋体" w:eastAsia="宋体"/>
          <w:color w:val="000000"/>
          <w:spacing w:val="0"/>
          <w:position w:val="0"/>
          <w:sz w:val="21"/>
          <w:shd w:fill="auto" w:val="clear"/>
        </w:rPr>
        <w:t xml:space="preserve">“垃圾处理”，是指运用填埋、焚烧、综合处理和回收利用等形式，对垃圾进行减量化、资源化和无害化处理处置的业务。</w:t>
      </w:r>
      <w:r>
        <w:rPr>
          <w:rFonts w:ascii="Calibri" w:hAnsi="Calibri" w:cs="Calibri" w:eastAsia="Calibri"/>
          <w:color w:val="000000"/>
          <w:spacing w:val="0"/>
          <w:position w:val="0"/>
          <w:sz w:val="21"/>
          <w:shd w:fill="auto" w:val="clear"/>
        </w:rPr>
        <w:t xml:space="preserve"> </w:t>
      </w:r>
    </w:p>
    <w:p>
      <w:pPr>
        <w:spacing w:before="0" w:after="0" w:line="240"/>
        <w:ind w:right="0" w:left="0" w:firstLine="420"/>
        <w:jc w:val="both"/>
        <w:rPr>
          <w:rFonts w:ascii="Calibri" w:hAnsi="Calibri" w:cs="Calibri" w:eastAsia="Calibri"/>
          <w:color w:val="000000"/>
          <w:spacing w:val="0"/>
          <w:position w:val="0"/>
          <w:sz w:val="21"/>
          <w:shd w:fill="auto" w:val="clear"/>
        </w:rPr>
      </w:pPr>
      <w:r>
        <w:rPr>
          <w:rFonts w:ascii="宋体" w:hAnsi="宋体" w:cs="宋体" w:eastAsia="宋体"/>
          <w:color w:val="000000"/>
          <w:spacing w:val="0"/>
          <w:position w:val="0"/>
          <w:sz w:val="21"/>
          <w:shd w:fill="auto" w:val="clear"/>
        </w:rPr>
        <w:t xml:space="preserve">“污水处理”，是指将污水（包括城镇污水和工业废水）处理后达到《城镇污水处理厂污染物排放标准》（</w:t>
      </w:r>
      <w:r>
        <w:rPr>
          <w:rFonts w:ascii="Calibri" w:hAnsi="Calibri" w:cs="Calibri" w:eastAsia="Calibri"/>
          <w:color w:val="000000"/>
          <w:spacing w:val="0"/>
          <w:position w:val="0"/>
          <w:sz w:val="21"/>
          <w:shd w:fill="auto" w:val="clear"/>
        </w:rPr>
        <w:t xml:space="preserve">GB18918-2002</w:t>
      </w:r>
      <w:r>
        <w:rPr>
          <w:rFonts w:ascii="宋体" w:hAnsi="宋体" w:cs="宋体" w:eastAsia="宋体"/>
          <w:color w:val="000000"/>
          <w:spacing w:val="0"/>
          <w:position w:val="0"/>
          <w:sz w:val="21"/>
          <w:shd w:fill="auto" w:val="clear"/>
        </w:rPr>
        <w:t xml:space="preserve">），或达到相应的国家或地方水污染物排放标准中的直接排放限值的业务。其中，城镇污水是指城镇居民生活污水，机关、学校、医院、商业服务机构及各种公共设施排水，以及允许排入城镇污水收集系统的工业废水和初期雨水。工业废水是指工业生产过程中产生的，不允许排入城镇污水收集系统的废水和废液。</w:t>
      </w:r>
    </w:p>
    <w:p>
      <w:pPr>
        <w:spacing w:before="0" w:after="0" w:line="240"/>
        <w:ind w:right="0" w:left="0" w:firstLine="420"/>
        <w:jc w:val="both"/>
        <w:rPr>
          <w:rFonts w:ascii="Calibri" w:hAnsi="Calibri" w:cs="Calibri" w:eastAsia="Calibri"/>
          <w:b/>
          <w:color w:val="000000"/>
          <w:spacing w:val="0"/>
          <w:position w:val="0"/>
          <w:sz w:val="21"/>
          <w:shd w:fill="auto" w:val="clear"/>
        </w:rPr>
      </w:pPr>
      <w:r>
        <w:rPr>
          <w:rFonts w:ascii="Calibri" w:hAnsi="Calibri" w:cs="Calibri" w:eastAsia="Calibri"/>
          <w:color w:val="000000"/>
          <w:spacing w:val="0"/>
          <w:position w:val="0"/>
          <w:sz w:val="21"/>
          <w:shd w:fill="auto" w:val="clear"/>
        </w:rPr>
        <w:t xml:space="preserve"> “</w:t>
      </w:r>
      <w:r>
        <w:rPr>
          <w:rFonts w:ascii="宋体" w:hAnsi="宋体" w:cs="宋体" w:eastAsia="宋体"/>
          <w:color w:val="000000"/>
          <w:spacing w:val="0"/>
          <w:position w:val="0"/>
          <w:sz w:val="21"/>
          <w:shd w:fill="auto" w:val="clear"/>
        </w:rPr>
        <w:t xml:space="preserve">污泥处理处置”，是指对污水处理后产生的污泥进行稳定化、减量化和无害化处理处置的业务。</w:t>
      </w:r>
    </w:p>
    <w:p>
      <w:pPr>
        <w:spacing w:before="0" w:after="0" w:line="240"/>
        <w:ind w:right="0" w:left="0" w:firstLine="42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2. </w:t>
      </w:r>
      <w:r>
        <w:rPr>
          <w:rFonts w:ascii="宋体" w:hAnsi="宋体" w:cs="宋体" w:eastAsia="宋体"/>
          <w:color w:val="000000"/>
          <w:spacing w:val="0"/>
          <w:position w:val="0"/>
          <w:sz w:val="21"/>
          <w:shd w:fill="auto" w:val="clear"/>
        </w:rPr>
        <w:t xml:space="preserve">综合利用的资源比例计算方式。</w:t>
      </w:r>
    </w:p>
    <w:p>
      <w:pPr>
        <w:spacing w:before="0" w:after="0" w:line="240"/>
        <w:ind w:right="0" w:left="0" w:firstLine="420"/>
        <w:jc w:val="both"/>
        <w:rPr>
          <w:rFonts w:ascii="Calibri" w:hAnsi="Calibri" w:cs="Calibri" w:eastAsia="Calibri"/>
          <w:color w:val="000000"/>
          <w:spacing w:val="0"/>
          <w:position w:val="0"/>
          <w:sz w:val="21"/>
          <w:shd w:fill="auto" w:val="clear"/>
        </w:rPr>
      </w:pPr>
      <w:r>
        <w:rPr>
          <w:rFonts w:ascii="宋体" w:hAnsi="宋体" w:cs="宋体" w:eastAsia="宋体"/>
          <w:color w:val="000000"/>
          <w:spacing w:val="0"/>
          <w:position w:val="0"/>
          <w:sz w:val="21"/>
          <w:shd w:fill="auto" w:val="clear"/>
        </w:rPr>
        <w:t xml:space="preserve">（</w:t>
      </w:r>
      <w:r>
        <w:rPr>
          <w:rFonts w:ascii="Calibri" w:hAnsi="Calibri" w:cs="Calibri" w:eastAsia="Calibri"/>
          <w:color w:val="000000"/>
          <w:spacing w:val="0"/>
          <w:position w:val="0"/>
          <w:sz w:val="21"/>
          <w:shd w:fill="auto" w:val="clear"/>
        </w:rPr>
        <w:t xml:space="preserve">1</w:t>
      </w:r>
      <w:r>
        <w:rPr>
          <w:rFonts w:ascii="宋体" w:hAnsi="宋体" w:cs="宋体" w:eastAsia="宋体"/>
          <w:color w:val="000000"/>
          <w:spacing w:val="0"/>
          <w:position w:val="0"/>
          <w:sz w:val="21"/>
          <w:shd w:fill="auto" w:val="clear"/>
        </w:rPr>
        <w:t xml:space="preserve">）综合利用的资源占生产原料或者燃料的比重，以重量比例计算。其中，水泥、水泥熟料原料中掺兑废渣的比重，按以下方法计算：</w:t>
      </w:r>
    </w:p>
    <w:p>
      <w:pPr>
        <w:spacing w:before="0" w:after="0" w:line="240"/>
        <w:ind w:right="0" w:left="0" w:firstLine="525"/>
        <w:jc w:val="both"/>
        <w:rPr>
          <w:rFonts w:ascii="Calibri" w:hAnsi="Calibri" w:cs="Calibri" w:eastAsia="Calibri"/>
          <w:color w:val="000000"/>
          <w:spacing w:val="0"/>
          <w:position w:val="0"/>
          <w:sz w:val="21"/>
          <w:shd w:fill="auto" w:val="clear"/>
        </w:rPr>
      </w:pPr>
      <w:r>
        <w:rPr>
          <w:rFonts w:ascii="宋体" w:hAnsi="宋体" w:cs="宋体" w:eastAsia="宋体"/>
          <w:color w:val="000000"/>
          <w:spacing w:val="0"/>
          <w:position w:val="0"/>
          <w:sz w:val="21"/>
          <w:shd w:fill="auto" w:val="clear"/>
        </w:rPr>
        <w:t xml:space="preserve">①对经生料烧制和熟料研磨阶段生产的水泥，其掺兑废渣比例计算公式为：掺兑废渣比例＝（生料烧制阶段掺兑废渣数量＋熟料研磨阶段掺兑废渣数量）÷（除废渣以外的生料数量＋生料烧制和熟料研磨阶段掺兑废渣数量＋其他材料数量）×</w:t>
      </w:r>
      <w:r>
        <w:rPr>
          <w:rFonts w:ascii="Calibri" w:hAnsi="Calibri" w:cs="Calibri" w:eastAsia="Calibri"/>
          <w:color w:val="000000"/>
          <w:spacing w:val="0"/>
          <w:position w:val="0"/>
          <w:sz w:val="21"/>
          <w:shd w:fill="auto" w:val="clear"/>
        </w:rPr>
        <w:t xml:space="preserve">100%</w:t>
      </w:r>
      <w:r>
        <w:rPr>
          <w:rFonts w:ascii="宋体" w:hAnsi="宋体" w:cs="宋体" w:eastAsia="宋体"/>
          <w:color w:val="000000"/>
          <w:spacing w:val="0"/>
          <w:position w:val="0"/>
          <w:sz w:val="21"/>
          <w:shd w:fill="auto" w:val="clear"/>
        </w:rPr>
        <w:t xml:space="preserve">；</w:t>
      </w:r>
    </w:p>
    <w:p>
      <w:pPr>
        <w:spacing w:before="0" w:after="0" w:line="240"/>
        <w:ind w:right="0" w:left="0" w:firstLine="525"/>
        <w:jc w:val="both"/>
        <w:rPr>
          <w:rFonts w:ascii="Calibri" w:hAnsi="Calibri" w:cs="Calibri" w:eastAsia="Calibri"/>
          <w:color w:val="000000"/>
          <w:spacing w:val="0"/>
          <w:position w:val="0"/>
          <w:sz w:val="21"/>
          <w:shd w:fill="auto" w:val="clear"/>
        </w:rPr>
      </w:pPr>
      <w:r>
        <w:rPr>
          <w:rFonts w:ascii="宋体" w:hAnsi="宋体" w:cs="宋体" w:eastAsia="宋体"/>
          <w:color w:val="000000"/>
          <w:spacing w:val="0"/>
          <w:position w:val="0"/>
          <w:sz w:val="21"/>
          <w:shd w:fill="auto" w:val="clear"/>
        </w:rPr>
        <w:t xml:space="preserve">②对外购水泥熟料采用研磨工艺生产的水泥，其掺兑废渣比例计算公式为：掺兑废渣比例＝熟料研磨阶段掺兑废渣数量÷（熟料数量＋熟料研磨阶段掺兑废渣数量＋其他材料数量）×</w:t>
      </w:r>
      <w:r>
        <w:rPr>
          <w:rFonts w:ascii="Calibri" w:hAnsi="Calibri" w:cs="Calibri" w:eastAsia="Calibri"/>
          <w:color w:val="000000"/>
          <w:spacing w:val="0"/>
          <w:position w:val="0"/>
          <w:sz w:val="21"/>
          <w:shd w:fill="auto" w:val="clear"/>
        </w:rPr>
        <w:t xml:space="preserve">100%</w:t>
      </w:r>
      <w:r>
        <w:rPr>
          <w:rFonts w:ascii="宋体" w:hAnsi="宋体" w:cs="宋体" w:eastAsia="宋体"/>
          <w:color w:val="000000"/>
          <w:spacing w:val="0"/>
          <w:position w:val="0"/>
          <w:sz w:val="21"/>
          <w:shd w:fill="auto" w:val="clear"/>
        </w:rPr>
        <w:t xml:space="preserve">；</w:t>
      </w:r>
    </w:p>
    <w:p>
      <w:pPr>
        <w:spacing w:before="0" w:after="0" w:line="240"/>
        <w:ind w:right="0" w:left="0" w:firstLine="525"/>
        <w:jc w:val="both"/>
        <w:rPr>
          <w:rFonts w:ascii="Calibri" w:hAnsi="Calibri" w:cs="Calibri" w:eastAsia="Calibri"/>
          <w:color w:val="000000"/>
          <w:spacing w:val="0"/>
          <w:position w:val="0"/>
          <w:sz w:val="21"/>
          <w:shd w:fill="auto" w:val="clear"/>
        </w:rPr>
      </w:pPr>
      <w:r>
        <w:rPr>
          <w:rFonts w:ascii="宋体" w:hAnsi="宋体" w:cs="宋体" w:eastAsia="宋体"/>
          <w:color w:val="000000"/>
          <w:spacing w:val="0"/>
          <w:position w:val="0"/>
          <w:sz w:val="21"/>
          <w:shd w:fill="auto" w:val="clear"/>
        </w:rPr>
        <w:t xml:space="preserve">③对生料烧制的水泥熟料，其掺兑废渣比例计算公式为：掺兑废渣比例＝生料烧制阶段掺兑废渣数量÷（除废渣以外的生料数量＋生料烧制阶段掺兑废渣数量＋其他材料数量）×</w:t>
      </w:r>
      <w:r>
        <w:rPr>
          <w:rFonts w:ascii="Calibri" w:hAnsi="Calibri" w:cs="Calibri" w:eastAsia="Calibri"/>
          <w:color w:val="000000"/>
          <w:spacing w:val="0"/>
          <w:position w:val="0"/>
          <w:sz w:val="21"/>
          <w:shd w:fill="auto" w:val="clear"/>
        </w:rPr>
        <w:t xml:space="preserve">100%</w:t>
      </w:r>
      <w:r>
        <w:rPr>
          <w:rFonts w:ascii="宋体" w:hAnsi="宋体" w:cs="宋体" w:eastAsia="宋体"/>
          <w:color w:val="000000"/>
          <w:spacing w:val="0"/>
          <w:position w:val="0"/>
          <w:sz w:val="21"/>
          <w:shd w:fill="auto" w:val="clear"/>
        </w:rPr>
        <w:t xml:space="preserve">。</w:t>
      </w:r>
    </w:p>
    <w:p>
      <w:pPr>
        <w:spacing w:before="0" w:after="0" w:line="240"/>
        <w:ind w:right="0" w:left="0" w:firstLine="420"/>
        <w:jc w:val="both"/>
        <w:rPr>
          <w:rFonts w:ascii="Calibri" w:hAnsi="Calibri" w:cs="Calibri" w:eastAsia="Calibri"/>
          <w:color w:val="000000"/>
          <w:spacing w:val="0"/>
          <w:position w:val="0"/>
          <w:sz w:val="21"/>
          <w:shd w:fill="auto" w:val="clear"/>
        </w:rPr>
      </w:pPr>
      <w:r>
        <w:rPr>
          <w:rFonts w:ascii="宋体" w:hAnsi="宋体" w:cs="宋体" w:eastAsia="宋体"/>
          <w:color w:val="000000"/>
          <w:spacing w:val="0"/>
          <w:position w:val="0"/>
          <w:sz w:val="21"/>
          <w:shd w:fill="auto" w:val="clear"/>
        </w:rPr>
        <w:t xml:space="preserve">（</w:t>
      </w:r>
      <w:r>
        <w:rPr>
          <w:rFonts w:ascii="Calibri" w:hAnsi="Calibri" w:cs="Calibri" w:eastAsia="Calibri"/>
          <w:color w:val="000000"/>
          <w:spacing w:val="0"/>
          <w:position w:val="0"/>
          <w:sz w:val="21"/>
          <w:shd w:fill="auto" w:val="clear"/>
        </w:rPr>
        <w:t xml:space="preserve">2</w:t>
      </w:r>
      <w:r>
        <w:rPr>
          <w:rFonts w:ascii="宋体" w:hAnsi="宋体" w:cs="宋体" w:eastAsia="宋体"/>
          <w:color w:val="000000"/>
          <w:spacing w:val="0"/>
          <w:position w:val="0"/>
          <w:sz w:val="21"/>
          <w:shd w:fill="auto" w:val="clear"/>
        </w:rPr>
        <w:t xml:space="preserve">）综合利用的资源为余热、余压的，按其占生产电力、热力消耗的能源比例计算。</w:t>
      </w:r>
    </w:p>
    <w:p>
      <w:pPr>
        <w:spacing w:before="0" w:after="0" w:line="240"/>
        <w:ind w:right="0" w:left="0" w:firstLine="42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3. </w:t>
      </w:r>
      <w:r>
        <w:rPr>
          <w:rFonts w:ascii="宋体" w:hAnsi="宋体" w:cs="宋体" w:eastAsia="宋体"/>
          <w:color w:val="000000"/>
          <w:spacing w:val="0"/>
          <w:position w:val="0"/>
          <w:sz w:val="21"/>
          <w:shd w:fill="auto" w:val="clear"/>
        </w:rPr>
        <w:t xml:space="preserve">表中所列综合利用产品，应当符合相应的国家或行业标准。既有国家标准又有行业标准的，应当符合相对高的标准；没有国家标准或行业标准的，应当符合按规定向质量技术监督部门备案的企业标准。</w:t>
      </w:r>
    </w:p>
    <w:p>
      <w:pPr>
        <w:spacing w:before="0" w:after="0" w:line="240"/>
        <w:ind w:right="0" w:left="0" w:firstLine="420"/>
        <w:jc w:val="both"/>
        <w:rPr>
          <w:rFonts w:ascii="Calibri" w:hAnsi="Calibri" w:cs="Calibri" w:eastAsia="Calibri"/>
          <w:color w:val="000000"/>
          <w:spacing w:val="0"/>
          <w:position w:val="0"/>
          <w:sz w:val="21"/>
          <w:shd w:fill="auto" w:val="clear"/>
        </w:rPr>
      </w:pPr>
      <w:r>
        <w:rPr>
          <w:rFonts w:ascii="宋体" w:hAnsi="宋体" w:cs="宋体" w:eastAsia="宋体"/>
          <w:color w:val="000000"/>
          <w:spacing w:val="0"/>
          <w:position w:val="0"/>
          <w:sz w:val="21"/>
          <w:shd w:fill="auto" w:val="clear"/>
        </w:rPr>
        <w:t xml:space="preserve">表中所列各类国家标准、行业标准，如在执行过程中有更新、替换，统一按最新的国家标准、行业标准执行。</w:t>
      </w:r>
    </w:p>
    <w:p>
      <w:pPr>
        <w:spacing w:before="0" w:after="0" w:line="240"/>
        <w:ind w:right="0" w:left="0" w:firstLine="420"/>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4. </w:t>
      </w:r>
      <w:r>
        <w:rPr>
          <w:rFonts w:ascii="宋体" w:hAnsi="宋体" w:cs="宋体" w:eastAsia="宋体"/>
          <w:color w:val="000000"/>
          <w:spacing w:val="0"/>
          <w:position w:val="0"/>
          <w:sz w:val="21"/>
          <w:shd w:fill="auto" w:val="clear"/>
        </w:rPr>
        <w:t xml:space="preserve">表中所称“以上”均含本数。</w:t>
      </w:r>
    </w:p>
    <w:p>
      <w:pPr>
        <w:spacing w:before="0" w:after="0" w:line="588"/>
        <w:ind w:right="0" w:left="0" w:firstLine="0"/>
        <w:jc w:val="both"/>
        <w:rPr>
          <w:rFonts w:ascii="宋体" w:hAnsi="宋体" w:cs="宋体" w:eastAsia="宋体"/>
          <w:color w:val="auto"/>
          <w:spacing w:val="6"/>
          <w:position w:val="0"/>
          <w:sz w:val="3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